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Override PartName="/word/header1.xml" ContentType="application/vnd.openxmlformats-officedocument.wordprocessingml.header+xml"/>
  <Override PartName="/word/footer1.xml" ContentType="application/vnd.openxmlformats-officedocument.wordprocessingml.footer+xml"/>
  <Default Extension="png" ContentType="image/png"/>
  <Default Extension="jpeg" ContentType="image/jpeg"/>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Heading2"/>
        <w:spacing w:line="489" w:lineRule="auto"/>
        <w:ind w:right="5312"/>
        <w:jc w:val="left"/>
      </w:pPr>
      <w:r>
        <w:rPr/>
        <w:t>Module 1 : Introduction Lecture 1 Introduction</w:t>
      </w:r>
    </w:p>
    <w:p>
      <w:pPr>
        <w:pStyle w:val="BodyText"/>
        <w:spacing w:line="360" w:lineRule="auto"/>
        <w:ind w:left="300" w:right="315"/>
        <w:jc w:val="both"/>
      </w:pPr>
      <w:r>
        <w:rPr/>
        <w:t>Bioanalytical techniques, as the name suggests, are the analytical tools to study the biological molecules; non-biological molecules involved with life, such as drugs; and biological processes. These tools are routinely used to identify, estimate, purify, and characterize the biomolecules. Quantification of molecules in biological samples is at the heart of bioanalysis and is routinely used to diagnose various diseases and metabolic disorders. For example, estimation of thyroxine and triiodothyronine concentrations in blood provides information about the activity of thyroid gland. Home pregnancy test kits look for the human chorionic gonadotropin (hCG) hormone in the urine, presence of which above a threshold concentration is an indicator of pregnancy. Bioanalytical methods are also used to detect drugs and their metabolites in biological samples. Initially, nonspecific assays were used to quantify the drugs in biological samples. Evolution of the existing assays, advancement in instrumentation, and introduction of newer techniques have made it possible to distinguish the drug molecules and their closely related metabolites in complex biological</w:t>
      </w:r>
      <w:r>
        <w:rPr>
          <w:spacing w:val="-8"/>
        </w:rPr>
        <w:t> </w:t>
      </w:r>
      <w:r>
        <w:rPr/>
        <w:t>specimens.</w:t>
      </w:r>
    </w:p>
    <w:p>
      <w:pPr>
        <w:pStyle w:val="Heading4"/>
        <w:spacing w:before="203"/>
      </w:pPr>
      <w:r>
        <w:rPr/>
        <w:t>Estimation of the analytes</w:t>
      </w:r>
    </w:p>
    <w:p>
      <w:pPr>
        <w:pStyle w:val="BodyText"/>
        <w:rPr>
          <w:b/>
          <w:sz w:val="29"/>
        </w:rPr>
      </w:pPr>
    </w:p>
    <w:p>
      <w:pPr>
        <w:pStyle w:val="BodyText"/>
        <w:tabs>
          <w:tab w:pos="3042" w:val="left" w:leader="none"/>
        </w:tabs>
        <w:spacing w:line="360" w:lineRule="auto"/>
        <w:ind w:left="300" w:right="5535"/>
        <w:jc w:val="both"/>
      </w:pPr>
      <w:r>
        <w:rPr/>
        <w:pict>
          <v:shape style="position:absolute;margin-left:253.600006pt;margin-top:4.213124pt;width:251.95pt;height:141.3pt;mso-position-horizontal-relative:page;mso-position-vertical-relative:paragraph;z-index:15728640" type="#_x0000_t202" filled="true" fillcolor="#ffff00" stroked="false">
            <v:textbox inset="0,0,0,0">
              <w:txbxContent>
                <w:p>
                  <w:pPr>
                    <w:pStyle w:val="BodyText"/>
                    <w:spacing w:line="276" w:lineRule="auto" w:before="67"/>
                    <w:ind w:left="143" w:right="143"/>
                    <w:jc w:val="both"/>
                  </w:pPr>
                  <w:r>
                    <w:rPr/>
                    <w:t>Biomarker: In disease and diagnostics, a biomarker is a molecule, presence of which beyond a threshold level is an indicator of the biological state.</w:t>
                  </w:r>
                </w:p>
                <w:p>
                  <w:pPr>
                    <w:pStyle w:val="BodyText"/>
                    <w:spacing w:line="276" w:lineRule="auto" w:before="199"/>
                    <w:ind w:left="143" w:right="142"/>
                    <w:jc w:val="both"/>
                  </w:pPr>
                  <w:r>
                    <w:rPr/>
                    <w:t>In cell biology, a biomarker is a molecule characteristic of a cell type or a group of cells</w:t>
                  </w:r>
                </w:p>
                <w:p>
                  <w:pPr>
                    <w:pStyle w:val="BodyText"/>
                    <w:spacing w:line="276" w:lineRule="auto" w:before="1"/>
                    <w:ind w:left="143" w:right="90"/>
                  </w:pPr>
                  <w:r>
                    <w:rPr>
                      <w:i/>
                    </w:rPr>
                    <w:t>e.g. </w:t>
                  </w:r>
                  <w:r>
                    <w:rPr/>
                    <w:t>Oct-4 is a biomarker for embryonic stem cells.</w:t>
                  </w:r>
                </w:p>
              </w:txbxContent>
            </v:textbox>
            <v:fill type="solid"/>
            <w10:wrap type="none"/>
          </v:shape>
        </w:pict>
      </w:r>
      <w:r>
        <w:rPr/>
        <w:t>Identification</w:t>
        <w:tab/>
      </w:r>
      <w:r>
        <w:rPr>
          <w:spacing w:val="-7"/>
        </w:rPr>
        <w:t>and </w:t>
      </w:r>
      <w:r>
        <w:rPr/>
        <w:t>quantification    of    analytes </w:t>
      </w:r>
      <w:r>
        <w:rPr>
          <w:spacing w:val="4"/>
        </w:rPr>
        <w:t> </w:t>
      </w:r>
      <w:r>
        <w:rPr>
          <w:spacing w:val="-6"/>
        </w:rPr>
        <w:t>is</w:t>
      </w:r>
    </w:p>
    <w:p>
      <w:pPr>
        <w:pStyle w:val="BodyText"/>
        <w:spacing w:line="360" w:lineRule="auto" w:before="1"/>
        <w:ind w:left="300" w:right="5533"/>
        <w:jc w:val="both"/>
      </w:pPr>
      <w:r>
        <w:rPr/>
        <w:t>perhaps the most </w:t>
      </w:r>
      <w:r>
        <w:rPr>
          <w:spacing w:val="-3"/>
        </w:rPr>
        <w:t>common </w:t>
      </w:r>
      <w:r>
        <w:rPr/>
        <w:t>application     of   </w:t>
      </w:r>
      <w:r>
        <w:rPr>
          <w:spacing w:val="36"/>
        </w:rPr>
        <w:t> </w:t>
      </w:r>
      <w:r>
        <w:rPr/>
        <w:t>bioanalytical</w:t>
      </w:r>
    </w:p>
    <w:p>
      <w:pPr>
        <w:pStyle w:val="BodyText"/>
        <w:spacing w:line="360" w:lineRule="auto"/>
        <w:ind w:left="300" w:right="5534"/>
        <w:jc w:val="both"/>
      </w:pPr>
      <w:r>
        <w:rPr/>
        <w:t>methods. Various diseases </w:t>
      </w:r>
      <w:r>
        <w:rPr>
          <w:spacing w:val="-5"/>
        </w:rPr>
        <w:t>and </w:t>
      </w:r>
      <w:r>
        <w:rPr/>
        <w:t>disorders including cancers </w:t>
      </w:r>
      <w:r>
        <w:rPr>
          <w:spacing w:val="-4"/>
        </w:rPr>
        <w:t>are </w:t>
      </w:r>
      <w:r>
        <w:rPr/>
        <w:t>diagnosed by estimating the levels    of    the   </w:t>
      </w:r>
      <w:r>
        <w:rPr>
          <w:spacing w:val="20"/>
        </w:rPr>
        <w:t> </w:t>
      </w:r>
      <w:r>
        <w:rPr/>
        <w:t>characteristic</w:t>
      </w:r>
    </w:p>
    <w:p>
      <w:pPr>
        <w:pStyle w:val="BodyText"/>
        <w:spacing w:line="360" w:lineRule="auto"/>
        <w:ind w:left="300" w:right="318"/>
        <w:jc w:val="both"/>
      </w:pPr>
      <w:r>
        <w:rPr/>
        <w:t>biomarkers in a particular tissue or organ. Semenogelase, for example, is a biomarker for prostate cancer, one of the most frequently diagnosed cancers in human males.</w:t>
      </w:r>
    </w:p>
    <w:p>
      <w:pPr>
        <w:spacing w:after="0" w:line="360" w:lineRule="auto"/>
        <w:jc w:val="both"/>
        <w:sectPr>
          <w:headerReference w:type="default" r:id="rId5"/>
          <w:footerReference w:type="default" r:id="rId6"/>
          <w:type w:val="continuous"/>
          <w:pgSz w:w="11910" w:h="16840"/>
          <w:pgMar w:header="722" w:footer="748" w:top="1300" w:bottom="940" w:left="1500" w:right="1480"/>
          <w:pgNumType w:start="1"/>
        </w:sectPr>
      </w:pPr>
    </w:p>
    <w:p>
      <w:pPr>
        <w:pStyle w:val="BodyText"/>
        <w:rPr>
          <w:sz w:val="20"/>
        </w:rPr>
      </w:pPr>
    </w:p>
    <w:p>
      <w:pPr>
        <w:pStyle w:val="BodyText"/>
        <w:rPr>
          <w:sz w:val="20"/>
        </w:rPr>
      </w:pPr>
    </w:p>
    <w:p>
      <w:pPr>
        <w:pStyle w:val="BodyText"/>
        <w:rPr>
          <w:sz w:val="16"/>
        </w:rPr>
      </w:pPr>
    </w:p>
    <w:p>
      <w:pPr>
        <w:spacing w:before="90"/>
        <w:ind w:left="300" w:right="0" w:firstLine="0"/>
        <w:jc w:val="both"/>
        <w:rPr>
          <w:i/>
          <w:sz w:val="24"/>
        </w:rPr>
      </w:pPr>
      <w:r>
        <w:rPr>
          <w:i/>
          <w:sz w:val="24"/>
        </w:rPr>
        <w:t>Qualitative versus quantitative analyses</w:t>
      </w:r>
    </w:p>
    <w:p>
      <w:pPr>
        <w:pStyle w:val="BodyText"/>
        <w:spacing w:before="5"/>
        <w:rPr>
          <w:i/>
          <w:sz w:val="29"/>
        </w:rPr>
      </w:pPr>
    </w:p>
    <w:p>
      <w:pPr>
        <w:pStyle w:val="BodyText"/>
        <w:spacing w:line="360" w:lineRule="auto"/>
        <w:ind w:left="300" w:right="315"/>
        <w:jc w:val="both"/>
      </w:pPr>
      <w:r>
        <w:rPr/>
        <w:t>A qualitative analysis simply tells about the presence or absence of an analyte in a sample. An absence of analyte, however, may result due to concentrations below the detection level of the bioanalytical technique used. Qualitative analyses are used wherein detection of an analyte is sufficient to take further course of action. For example, identification of a banned performance-enhancing drug in athletics is sufficient enough to determine the qualification of the athlete to participate in the event. In certain cases, however, it is important to estimate the concentration of the analyte. A quantitative analysis would result in the determination of actual amount of the substance present in the sample. Consider a person suspected to be diabetic. A qualitative test for glucose is not good enough to ascertain if the person is diabetic. It is important to accurately determine the concentration of glucose in the blood to  arrive at a conclusion. Breath alcohol detectors are used by traffic personnel to quantify the breath alcohol level, which in turn is proportional to blood glucose level and thereby enable them to identify the drunk</w:t>
      </w:r>
      <w:r>
        <w:rPr>
          <w:spacing w:val="-9"/>
        </w:rPr>
        <w:t> </w:t>
      </w:r>
      <w:r>
        <w:rPr/>
        <w:t>drivers.</w:t>
      </w:r>
    </w:p>
    <w:p>
      <w:pPr>
        <w:spacing w:after="0" w:line="360" w:lineRule="auto"/>
        <w:jc w:val="both"/>
        <w:sectPr>
          <w:pgSz w:w="11910" w:h="16840"/>
          <w:pgMar w:header="722" w:footer="748" w:top="1300" w:bottom="940" w:left="1500" w:right="1480"/>
        </w:sectPr>
      </w:pPr>
    </w:p>
    <w:p>
      <w:pPr>
        <w:spacing w:before="119"/>
        <w:ind w:left="300" w:right="0" w:firstLine="0"/>
        <w:jc w:val="both"/>
        <w:rPr>
          <w:i/>
          <w:sz w:val="24"/>
        </w:rPr>
      </w:pPr>
      <w:r>
        <w:rPr>
          <w:i/>
          <w:sz w:val="24"/>
        </w:rPr>
        <w:t>Accurate and precise determination of analytes</w:t>
      </w:r>
    </w:p>
    <w:p>
      <w:pPr>
        <w:pStyle w:val="BodyText"/>
        <w:spacing w:before="5"/>
        <w:rPr>
          <w:i/>
          <w:sz w:val="29"/>
        </w:rPr>
      </w:pPr>
    </w:p>
    <w:p>
      <w:pPr>
        <w:pStyle w:val="BodyText"/>
        <w:spacing w:line="360" w:lineRule="auto"/>
        <w:ind w:left="300" w:right="315"/>
        <w:jc w:val="both"/>
      </w:pPr>
      <w:r>
        <w:rPr/>
        <w:t>It is hardly necessary to explain how critical an accurate determination of an analyte is. </w:t>
      </w:r>
      <w:r>
        <w:rPr>
          <w:spacing w:val="-3"/>
        </w:rPr>
        <w:t>If </w:t>
      </w:r>
      <w:r>
        <w:rPr/>
        <w:t>a breath alcohol detector is not accurate, a drunk driver may be let off risking the life of others while a sober one may be detained. Unless the concentration of analyte is determined accurately and precisely, it is difficult to make meaningful conclusions. So, what exactly do the accuracy and precision mean? Accuracy is the measure of how closely the measured values match the true values. Precision tells about the reproducibility of the measurement </w:t>
      </w:r>
      <w:r>
        <w:rPr>
          <w:i/>
        </w:rPr>
        <w:t>i.e. </w:t>
      </w:r>
      <w:r>
        <w:rPr/>
        <w:t>how closely the measured values are if repeated measurements are made on the sample (Figure</w:t>
      </w:r>
      <w:r>
        <w:rPr>
          <w:spacing w:val="-7"/>
        </w:rPr>
        <w:t> </w:t>
      </w:r>
      <w:r>
        <w:rPr/>
        <w:t>1.1).</w:t>
      </w:r>
    </w:p>
    <w:p>
      <w:pPr>
        <w:pStyle w:val="BodyText"/>
        <w:spacing w:before="5"/>
        <w:rPr>
          <w:sz w:val="16"/>
        </w:rPr>
      </w:pPr>
      <w:r>
        <w:rPr/>
        <w:drawing>
          <wp:anchor distT="0" distB="0" distL="0" distR="0" allowOverlap="1" layoutInCell="1" locked="0" behindDoc="0" simplePos="0" relativeHeight="1">
            <wp:simplePos x="0" y="0"/>
            <wp:positionH relativeFrom="page">
              <wp:posOffset>2177482</wp:posOffset>
            </wp:positionH>
            <wp:positionV relativeFrom="paragraph">
              <wp:posOffset>144853</wp:posOffset>
            </wp:positionV>
            <wp:extent cx="3362363" cy="3395472"/>
            <wp:effectExtent l="0" t="0" r="0" b="0"/>
            <wp:wrapTopAndBottom/>
            <wp:docPr id="1" name="image1.png" descr="Figure 1.1.tif"/>
            <wp:cNvGraphicFramePr>
              <a:graphicFrameLocks noChangeAspect="1"/>
            </wp:cNvGraphicFramePr>
            <a:graphic>
              <a:graphicData uri="http://schemas.openxmlformats.org/drawingml/2006/picture">
                <pic:pic>
                  <pic:nvPicPr>
                    <pic:cNvPr id="2" name="image1.png"/>
                    <pic:cNvPicPr/>
                  </pic:nvPicPr>
                  <pic:blipFill>
                    <a:blip r:embed="rId7" cstate="print"/>
                    <a:stretch>
                      <a:fillRect/>
                    </a:stretch>
                  </pic:blipFill>
                  <pic:spPr>
                    <a:xfrm>
                      <a:off x="0" y="0"/>
                      <a:ext cx="3362363" cy="3395472"/>
                    </a:xfrm>
                    <a:prstGeom prst="rect">
                      <a:avLst/>
                    </a:prstGeom>
                  </pic:spPr>
                </pic:pic>
              </a:graphicData>
            </a:graphic>
          </wp:anchor>
        </w:drawing>
      </w:r>
    </w:p>
    <w:p>
      <w:pPr>
        <w:spacing w:line="360" w:lineRule="auto" w:before="188"/>
        <w:ind w:left="496" w:right="316" w:firstLine="0"/>
        <w:jc w:val="both"/>
        <w:rPr>
          <w:b/>
          <w:sz w:val="16"/>
        </w:rPr>
      </w:pPr>
      <w:r>
        <w:rPr>
          <w:b/>
          <w:sz w:val="16"/>
        </w:rPr>
        <w:t>Figure 1.1 Schematic representations of accuracy and precision. Consider the centre of the concentric circles as the true value; the measured values are represented as the black dots. The measured values shown in panel A are close to the true value (accurate) as well as to each other (precise). The measured values in panel B are close to each other (precise) but far from the true value (inaccurate). The individual values in panel C are far away from the true value but randomly distributed about the true value; the average value lies close to the true value (accurate but imprecise). Panel D represents inaccurate and imprecise</w:t>
      </w:r>
      <w:r>
        <w:rPr>
          <w:b/>
          <w:spacing w:val="-8"/>
          <w:sz w:val="16"/>
        </w:rPr>
        <w:t> </w:t>
      </w:r>
      <w:r>
        <w:rPr>
          <w:b/>
          <w:sz w:val="16"/>
        </w:rPr>
        <w:t>measurements.</w:t>
      </w:r>
    </w:p>
    <w:p>
      <w:pPr>
        <w:pStyle w:val="BodyText"/>
        <w:spacing w:before="1"/>
        <w:rPr>
          <w:b/>
          <w:sz w:val="17"/>
        </w:rPr>
      </w:pPr>
    </w:p>
    <w:p>
      <w:pPr>
        <w:pStyle w:val="BodyText"/>
        <w:spacing w:line="360" w:lineRule="auto"/>
        <w:ind w:left="300" w:right="320"/>
        <w:jc w:val="both"/>
      </w:pPr>
      <w:r>
        <w:rPr/>
        <w:t>It is easy to imagine the consequences of using an inaccurate equipment; it would give inaccurate results. Imprecise equipments, even if accurate, are problematic as a large number of measurements are required to arrive close to the true value which may take considerable amount of time. An analytical tool therefore has to be both accurate and precise to be used reliably and for faster analysis.</w:t>
      </w:r>
    </w:p>
    <w:p>
      <w:pPr>
        <w:spacing w:after="0" w:line="360" w:lineRule="auto"/>
        <w:jc w:val="both"/>
        <w:sectPr>
          <w:pgSz w:w="11910" w:h="16840"/>
          <w:pgMar w:header="722" w:footer="748" w:top="1300" w:bottom="940" w:left="1500" w:right="1480"/>
        </w:sectPr>
      </w:pPr>
    </w:p>
    <w:p>
      <w:pPr>
        <w:pStyle w:val="Heading4"/>
        <w:spacing w:before="124"/>
      </w:pPr>
      <w:r>
        <w:rPr/>
        <w:t>Identification and characterization of molecules</w:t>
      </w:r>
    </w:p>
    <w:p>
      <w:pPr>
        <w:pStyle w:val="BodyText"/>
        <w:rPr>
          <w:b/>
          <w:sz w:val="29"/>
        </w:rPr>
      </w:pPr>
    </w:p>
    <w:p>
      <w:pPr>
        <w:pStyle w:val="BodyText"/>
        <w:spacing w:line="360" w:lineRule="auto"/>
        <w:ind w:left="300" w:right="316"/>
        <w:jc w:val="both"/>
      </w:pPr>
      <w:r>
        <w:rPr/>
        <w:t>Researchers involved in the discovery of novel bioactive natural products often have to identify the bioactive component present in the crude sample; for example, isolation of novel antibiotics and antimicrobial peptides from various organisms. Individual components in the crude sample are isolated based on the differences in their physical and chemical properties. The bioactive component is identified by testing the activities of these isolated compounds. The bioactive compound is then characterized using various spectroscopic methods to arrive at its structure and function(s). Bioanalytical techniques can typically be classified as shown in Figure 1.2.</w:t>
      </w:r>
    </w:p>
    <w:p>
      <w:pPr>
        <w:pStyle w:val="BodyText"/>
        <w:spacing w:before="5"/>
        <w:rPr>
          <w:sz w:val="16"/>
        </w:rPr>
      </w:pPr>
      <w:r>
        <w:rPr/>
        <w:drawing>
          <wp:anchor distT="0" distB="0" distL="0" distR="0" allowOverlap="1" layoutInCell="1" locked="0" behindDoc="0" simplePos="0" relativeHeight="2">
            <wp:simplePos x="0" y="0"/>
            <wp:positionH relativeFrom="page">
              <wp:posOffset>1307195</wp:posOffset>
            </wp:positionH>
            <wp:positionV relativeFrom="paragraph">
              <wp:posOffset>144764</wp:posOffset>
            </wp:positionV>
            <wp:extent cx="5082271" cy="2456688"/>
            <wp:effectExtent l="0" t="0" r="0" b="0"/>
            <wp:wrapTopAndBottom/>
            <wp:docPr id="3" name="image2.png" descr="Figure 1.2.tif"/>
            <wp:cNvGraphicFramePr>
              <a:graphicFrameLocks noChangeAspect="1"/>
            </wp:cNvGraphicFramePr>
            <a:graphic>
              <a:graphicData uri="http://schemas.openxmlformats.org/drawingml/2006/picture">
                <pic:pic>
                  <pic:nvPicPr>
                    <pic:cNvPr id="4" name="image2.png"/>
                    <pic:cNvPicPr/>
                  </pic:nvPicPr>
                  <pic:blipFill>
                    <a:blip r:embed="rId8" cstate="print"/>
                    <a:stretch>
                      <a:fillRect/>
                    </a:stretch>
                  </pic:blipFill>
                  <pic:spPr>
                    <a:xfrm>
                      <a:off x="0" y="0"/>
                      <a:ext cx="5082271" cy="2456688"/>
                    </a:xfrm>
                    <a:prstGeom prst="rect">
                      <a:avLst/>
                    </a:prstGeom>
                  </pic:spPr>
                </pic:pic>
              </a:graphicData>
            </a:graphic>
          </wp:anchor>
        </w:drawing>
      </w:r>
    </w:p>
    <w:p>
      <w:pPr>
        <w:spacing w:before="182"/>
        <w:ind w:left="793" w:right="617" w:firstLine="0"/>
        <w:jc w:val="center"/>
        <w:rPr>
          <w:b/>
          <w:sz w:val="16"/>
        </w:rPr>
      </w:pPr>
      <w:r>
        <w:rPr>
          <w:b/>
          <w:sz w:val="16"/>
        </w:rPr>
        <w:t>Figure 1.2 Various bioanalytical methods</w:t>
      </w:r>
    </w:p>
    <w:p>
      <w:pPr>
        <w:pStyle w:val="BodyText"/>
        <w:spacing w:before="10"/>
        <w:rPr>
          <w:b/>
        </w:rPr>
      </w:pPr>
    </w:p>
    <w:p>
      <w:pPr>
        <w:pStyle w:val="BodyText"/>
        <w:spacing w:line="360" w:lineRule="auto"/>
        <w:ind w:left="300" w:right="316"/>
        <w:jc w:val="both"/>
      </w:pPr>
      <w:r>
        <w:rPr/>
        <w:t>Spectroscopic tools such as infrared spectroscopy, circular dichroism spectroscopy, and nuclear magnetic resonance spectroscopy can provide structural information about the molecules which in turn provides insights into their functional</w:t>
      </w:r>
      <w:r>
        <w:rPr>
          <w:spacing w:val="-9"/>
        </w:rPr>
        <w:t> </w:t>
      </w:r>
      <w:r>
        <w:rPr/>
        <w:t>aspects.</w:t>
      </w:r>
    </w:p>
    <w:p>
      <w:pPr>
        <w:pStyle w:val="BodyText"/>
        <w:rPr>
          <w:sz w:val="26"/>
        </w:rPr>
      </w:pPr>
    </w:p>
    <w:p>
      <w:pPr>
        <w:pStyle w:val="BodyText"/>
        <w:rPr>
          <w:sz w:val="26"/>
        </w:rPr>
      </w:pPr>
    </w:p>
    <w:p>
      <w:pPr>
        <w:pStyle w:val="Heading4"/>
        <w:spacing w:before="222"/>
      </w:pPr>
      <w:r>
        <w:rPr/>
        <w:t>Studying biological processes</w:t>
      </w:r>
    </w:p>
    <w:p>
      <w:pPr>
        <w:pStyle w:val="BodyText"/>
        <w:rPr>
          <w:b/>
          <w:sz w:val="29"/>
        </w:rPr>
      </w:pPr>
    </w:p>
    <w:p>
      <w:pPr>
        <w:pStyle w:val="BodyText"/>
        <w:spacing w:line="360" w:lineRule="auto"/>
        <w:ind w:left="300" w:right="317"/>
        <w:jc w:val="both"/>
      </w:pPr>
      <w:r>
        <w:rPr/>
        <w:t>Life is an outcome of the complex interplay of biological molecules. These involve interactions between macromolecules (</w:t>
      </w:r>
      <w:r>
        <w:rPr>
          <w:i/>
        </w:rPr>
        <w:t>e.g. </w:t>
      </w:r>
      <w:r>
        <w:rPr/>
        <w:t>protein-protein interactions and DNA- protein interactions, RNA-protein interactions); interactions of biomolecules with small molecules (glucose channels, water channels, ligand-binding) and ions (K</w:t>
      </w:r>
      <w:r>
        <w:rPr>
          <w:vertAlign w:val="superscript"/>
        </w:rPr>
        <w:t>+</w:t>
      </w:r>
      <w:r>
        <w:rPr>
          <w:vertAlign w:val="baseline"/>
        </w:rPr>
        <w:t> channel, Na</w:t>
      </w:r>
      <w:r>
        <w:rPr>
          <w:vertAlign w:val="superscript"/>
        </w:rPr>
        <w:t>+</w:t>
      </w:r>
      <w:r>
        <w:rPr>
          <w:vertAlign w:val="baseline"/>
        </w:rPr>
        <w:t> and K</w:t>
      </w:r>
      <w:r>
        <w:rPr>
          <w:vertAlign w:val="superscript"/>
        </w:rPr>
        <w:t>+</w:t>
      </w:r>
      <w:r>
        <w:rPr>
          <w:vertAlign w:val="baseline"/>
        </w:rPr>
        <w:t> pump, Ca</w:t>
      </w:r>
      <w:r>
        <w:rPr>
          <w:vertAlign w:val="superscript"/>
        </w:rPr>
        <w:t>2+</w:t>
      </w:r>
      <w:r>
        <w:rPr>
          <w:vertAlign w:val="baseline"/>
        </w:rPr>
        <w:t> channels); and interaction of molecules with light</w:t>
      </w:r>
    </w:p>
    <w:p>
      <w:pPr>
        <w:spacing w:after="0" w:line="360" w:lineRule="auto"/>
        <w:jc w:val="both"/>
        <w:sectPr>
          <w:pgSz w:w="11910" w:h="16840"/>
          <w:pgMar w:header="722" w:footer="748" w:top="1300" w:bottom="940" w:left="1500" w:right="1480"/>
        </w:sectPr>
      </w:pPr>
    </w:p>
    <w:p>
      <w:pPr>
        <w:pStyle w:val="BodyText"/>
        <w:spacing w:line="360" w:lineRule="auto" w:before="119"/>
        <w:ind w:left="299" w:right="316"/>
        <w:jc w:val="both"/>
      </w:pPr>
      <w:r>
        <w:rPr/>
        <w:t>(chlorophyll, photoreceptors). Interactions of the molecules with their receptors/ligands, both </w:t>
      </w:r>
      <w:r>
        <w:rPr>
          <w:i/>
        </w:rPr>
        <w:t>in vitro </w:t>
      </w:r>
      <w:r>
        <w:rPr/>
        <w:t>and </w:t>
      </w:r>
      <w:r>
        <w:rPr>
          <w:i/>
        </w:rPr>
        <w:t>in vivo</w:t>
      </w:r>
      <w:r>
        <w:rPr/>
        <w:t>, are usually studied using various spectroscopic and microscopic tools. Fluorescence spectroscopy and microscopy are among the most commonly employed tools to study the biological processes. Discovery of the green fluorescent protein (GFP) and subsequent development of its analogs with different spectral properties have revolutionized the area of cellular research. Before discussing in detail the various tools that have gained importance in bioanalytical research, it is worthwhile to take a pause for very quickly reviewing the important structural aspects of major classes of biomolecules.</w:t>
      </w:r>
    </w:p>
    <w:p>
      <w:pPr>
        <w:pStyle w:val="BodyText"/>
        <w:rPr>
          <w:sz w:val="26"/>
        </w:rPr>
      </w:pPr>
    </w:p>
    <w:p>
      <w:pPr>
        <w:pStyle w:val="BodyText"/>
        <w:rPr>
          <w:sz w:val="26"/>
        </w:rPr>
      </w:pPr>
    </w:p>
    <w:p>
      <w:pPr>
        <w:pStyle w:val="Heading4"/>
        <w:spacing w:before="222"/>
        <w:ind w:left="299"/>
      </w:pPr>
      <w:r>
        <w:rPr/>
        <w:t>Features of major biomolecules</w:t>
      </w:r>
    </w:p>
    <w:p>
      <w:pPr>
        <w:pStyle w:val="BodyText"/>
        <w:spacing w:before="9"/>
        <w:rPr>
          <w:b/>
          <w:sz w:val="28"/>
        </w:rPr>
      </w:pPr>
    </w:p>
    <w:p>
      <w:pPr>
        <w:pStyle w:val="BodyText"/>
        <w:spacing w:line="360" w:lineRule="auto" w:before="1"/>
        <w:ind w:left="299" w:right="319"/>
        <w:jc w:val="both"/>
      </w:pPr>
      <w:r>
        <w:rPr/>
        <w:t>Classification of biomolecules is largely based on their chemistry. There are four major classes of biomolecules: proteins, nucleic acids, carbohydrates, and lipids.</w:t>
      </w:r>
    </w:p>
    <w:p>
      <w:pPr>
        <w:spacing w:before="201"/>
        <w:ind w:left="299" w:right="0" w:firstLine="0"/>
        <w:jc w:val="both"/>
        <w:rPr>
          <w:i/>
          <w:sz w:val="24"/>
        </w:rPr>
      </w:pPr>
      <w:r>
        <w:rPr>
          <w:i/>
          <w:sz w:val="24"/>
        </w:rPr>
        <w:t>Amino acids and proteins</w:t>
      </w:r>
    </w:p>
    <w:p>
      <w:pPr>
        <w:pStyle w:val="BodyText"/>
        <w:spacing w:before="3"/>
        <w:rPr>
          <w:i/>
          <w:sz w:val="29"/>
        </w:rPr>
      </w:pPr>
    </w:p>
    <w:p>
      <w:pPr>
        <w:pStyle w:val="BodyText"/>
        <w:spacing w:line="360" w:lineRule="auto"/>
        <w:ind w:left="299" w:right="315"/>
        <w:jc w:val="both"/>
      </w:pPr>
      <w:r>
        <w:rPr/>
        <w:t>Proteins constitute the functional machinery in the living systems by carrying out most of the biological reactions. They are the unbranched polymers of L-α-amino acids. D-amino acids do exist in nature, but such molecules are rare. The structure of a typical amino acid is shown in Figure</w:t>
      </w:r>
      <w:r>
        <w:rPr>
          <w:spacing w:val="-1"/>
        </w:rPr>
        <w:t> </w:t>
      </w:r>
      <w:r>
        <w:rPr/>
        <w:t>1.3A.</w:t>
      </w:r>
    </w:p>
    <w:p>
      <w:pPr>
        <w:pStyle w:val="BodyText"/>
        <w:spacing w:before="1"/>
        <w:rPr>
          <w:sz w:val="18"/>
        </w:rPr>
      </w:pPr>
      <w:r>
        <w:rPr/>
        <w:drawing>
          <wp:anchor distT="0" distB="0" distL="0" distR="0" allowOverlap="1" layoutInCell="1" locked="0" behindDoc="0" simplePos="0" relativeHeight="3">
            <wp:simplePos x="0" y="0"/>
            <wp:positionH relativeFrom="page">
              <wp:posOffset>1300863</wp:posOffset>
            </wp:positionH>
            <wp:positionV relativeFrom="paragraph">
              <wp:posOffset>157358</wp:posOffset>
            </wp:positionV>
            <wp:extent cx="5127935" cy="2414016"/>
            <wp:effectExtent l="0" t="0" r="0" b="0"/>
            <wp:wrapTopAndBottom/>
            <wp:docPr id="5" name="image3.png"/>
            <wp:cNvGraphicFramePr>
              <a:graphicFrameLocks noChangeAspect="1"/>
            </wp:cNvGraphicFramePr>
            <a:graphic>
              <a:graphicData uri="http://schemas.openxmlformats.org/drawingml/2006/picture">
                <pic:pic>
                  <pic:nvPicPr>
                    <pic:cNvPr id="6" name="image3.png"/>
                    <pic:cNvPicPr/>
                  </pic:nvPicPr>
                  <pic:blipFill>
                    <a:blip r:embed="rId9" cstate="print"/>
                    <a:stretch>
                      <a:fillRect/>
                    </a:stretch>
                  </pic:blipFill>
                  <pic:spPr>
                    <a:xfrm>
                      <a:off x="0" y="0"/>
                      <a:ext cx="5127935" cy="2414016"/>
                    </a:xfrm>
                    <a:prstGeom prst="rect">
                      <a:avLst/>
                    </a:prstGeom>
                  </pic:spPr>
                </pic:pic>
              </a:graphicData>
            </a:graphic>
          </wp:anchor>
        </w:drawing>
      </w:r>
    </w:p>
    <w:p>
      <w:pPr>
        <w:spacing w:line="362" w:lineRule="auto" w:before="201"/>
        <w:ind w:left="496" w:right="317" w:firstLine="0"/>
        <w:jc w:val="both"/>
        <w:rPr>
          <w:b/>
          <w:sz w:val="16"/>
        </w:rPr>
      </w:pPr>
      <w:r>
        <w:rPr>
          <w:b/>
          <w:sz w:val="16"/>
        </w:rPr>
        <w:t>Figure 1.3 Structures of amino acids and proteins: structure of a typical L-α-amino acid (A); peptide bond showing the partial double bond character (B); primary and secondary structures (C); and tertiary and quaternary structures (D) formed by proteins.</w:t>
      </w:r>
    </w:p>
    <w:p>
      <w:pPr>
        <w:spacing w:after="0" w:line="362" w:lineRule="auto"/>
        <w:jc w:val="both"/>
        <w:rPr>
          <w:sz w:val="16"/>
        </w:rPr>
        <w:sectPr>
          <w:pgSz w:w="11910" w:h="16840"/>
          <w:pgMar w:header="722" w:footer="748" w:top="1300" w:bottom="940" w:left="1500" w:right="1480"/>
        </w:sectPr>
      </w:pPr>
    </w:p>
    <w:p>
      <w:pPr>
        <w:pStyle w:val="BodyText"/>
        <w:spacing w:line="360" w:lineRule="auto" w:before="119"/>
        <w:ind w:left="300" w:right="313"/>
        <w:jc w:val="both"/>
      </w:pPr>
      <w:r>
        <w:rPr/>
        <w:t>The R group (shown in Figure 1.3A) is what differentiates the 20 standard amino acids present in proteins. During protein synthesis, the amino acids are linked together through an amide bond, called peptide bond (Figure 1.3B). Delocalization of nitrogen’s lone pair of electrons over carbonyl group imparts a partial double bond character to the peptide bond putting severe conformational constraints on the polypeptide backbone (Figure 1.3B). The sequence of amino acids in a polypeptide chain is termed as its primary structure (Figure 1.3C). The linear polypeptide chain can adopt local higher order structures stabilized through hydrogen bonds; these local ordered structures are termed secondary structures (Figure 1.3C). Two such secondary structures found in proteins are: α-helices and β-sheets. Further folding of the unstructured regions in the polypeptide chain results in a compact structure, termed the tertiary structure, the highest structural level of a single chain protein (Figure 1.3D). Certain proteins function as multimers wherein more than one polypeptide chains assemble together through non-covalent interactions to form what is called a quaternary structure (Figure</w:t>
      </w:r>
      <w:r>
        <w:rPr>
          <w:spacing w:val="-6"/>
        </w:rPr>
        <w:t> </w:t>
      </w:r>
      <w:r>
        <w:rPr/>
        <w:t>1.3D).</w:t>
      </w:r>
    </w:p>
    <w:p>
      <w:pPr>
        <w:spacing w:before="201"/>
        <w:ind w:left="300" w:right="0" w:firstLine="0"/>
        <w:jc w:val="both"/>
        <w:rPr>
          <w:i/>
          <w:sz w:val="24"/>
        </w:rPr>
      </w:pPr>
      <w:r>
        <w:rPr>
          <w:i/>
          <w:sz w:val="24"/>
        </w:rPr>
        <w:t>Nucleotides and nucleic acids</w:t>
      </w:r>
    </w:p>
    <w:p>
      <w:pPr>
        <w:pStyle w:val="BodyText"/>
        <w:spacing w:before="3"/>
        <w:rPr>
          <w:i/>
          <w:sz w:val="29"/>
        </w:rPr>
      </w:pPr>
    </w:p>
    <w:p>
      <w:pPr>
        <w:pStyle w:val="BodyText"/>
        <w:spacing w:line="360" w:lineRule="auto"/>
        <w:ind w:left="299" w:right="317"/>
        <w:jc w:val="both"/>
      </w:pPr>
      <w:r>
        <w:rPr/>
        <w:t>A nucleotide is composed of a pentose sugar, a nitrogenous base, and one or more phosphate groups (Figure 1.4A). The pentose sugar can either be ribose (in a </w:t>
      </w:r>
      <w:r>
        <w:rPr>
          <w:i/>
        </w:rPr>
        <w:t>ribonucleotide</w:t>
      </w:r>
      <w:r>
        <w:rPr/>
        <w:t>) or 2′-deoxyribose (in a </w:t>
      </w:r>
      <w:r>
        <w:rPr>
          <w:i/>
        </w:rPr>
        <w:t>deoxyribonuceotide</w:t>
      </w:r>
      <w:r>
        <w:rPr/>
        <w:t>). The nitrogenous bases present in nucleic acids are the derivatives of purine (Adenine, A and Guanine, G) and pyrimidine (Thymine, T; Cytosine, C; and Uracil, U) (Figure 1.4B). Nucleotides, as you may know, are the structural units of nucleic acids. Apart from that, nucleotides such as adenosine triphosphate (ATP), guanosine triphosphate (GTP), coenzyme A (CoA), flavin adenine dinucleotide (FAD), nicotinamide adenine dinucleotide (NAD</w:t>
      </w:r>
      <w:r>
        <w:rPr>
          <w:vertAlign w:val="superscript"/>
        </w:rPr>
        <w:t>+</w:t>
      </w:r>
      <w:r>
        <w:rPr>
          <w:vertAlign w:val="baseline"/>
        </w:rPr>
        <w:t>), and nicotinamide adenine dinucleotide phosphate (NADP+), play critical roles in metabolism and intracellular</w:t>
      </w:r>
      <w:r>
        <w:rPr>
          <w:spacing w:val="-2"/>
          <w:vertAlign w:val="baseline"/>
        </w:rPr>
        <w:t> </w:t>
      </w:r>
      <w:r>
        <w:rPr>
          <w:vertAlign w:val="baseline"/>
        </w:rPr>
        <w:t>signaling.</w:t>
      </w:r>
    </w:p>
    <w:p>
      <w:pPr>
        <w:spacing w:after="0" w:line="360" w:lineRule="auto"/>
        <w:jc w:val="both"/>
        <w:sectPr>
          <w:pgSz w:w="11910" w:h="16840"/>
          <w:pgMar w:header="722" w:footer="748" w:top="1300" w:bottom="940" w:left="1500" w:right="1480"/>
        </w:sectPr>
      </w:pPr>
    </w:p>
    <w:p>
      <w:pPr>
        <w:pStyle w:val="BodyText"/>
        <w:spacing w:before="9"/>
        <w:rPr>
          <w:sz w:val="12"/>
        </w:rPr>
      </w:pPr>
    </w:p>
    <w:p>
      <w:pPr>
        <w:pStyle w:val="BodyText"/>
        <w:ind w:left="568"/>
        <w:rPr>
          <w:sz w:val="20"/>
        </w:rPr>
      </w:pPr>
      <w:r>
        <w:rPr>
          <w:sz w:val="20"/>
        </w:rPr>
        <w:drawing>
          <wp:inline distT="0" distB="0" distL="0" distR="0">
            <wp:extent cx="5029159" cy="2724911"/>
            <wp:effectExtent l="0" t="0" r="0" b="0"/>
            <wp:docPr id="7" name="image4.jpeg" descr="Figure 1.4.tif"/>
            <wp:cNvGraphicFramePr>
              <a:graphicFrameLocks noChangeAspect="1"/>
            </wp:cNvGraphicFramePr>
            <a:graphic>
              <a:graphicData uri="http://schemas.openxmlformats.org/drawingml/2006/picture">
                <pic:pic>
                  <pic:nvPicPr>
                    <pic:cNvPr id="8" name="image4.jpeg"/>
                    <pic:cNvPicPr/>
                  </pic:nvPicPr>
                  <pic:blipFill>
                    <a:blip r:embed="rId10" cstate="print"/>
                    <a:stretch>
                      <a:fillRect/>
                    </a:stretch>
                  </pic:blipFill>
                  <pic:spPr>
                    <a:xfrm>
                      <a:off x="0" y="0"/>
                      <a:ext cx="5029159" cy="2724911"/>
                    </a:xfrm>
                    <a:prstGeom prst="rect">
                      <a:avLst/>
                    </a:prstGeom>
                  </pic:spPr>
                </pic:pic>
              </a:graphicData>
            </a:graphic>
          </wp:inline>
        </w:drawing>
      </w:r>
      <w:r>
        <w:rPr>
          <w:sz w:val="20"/>
        </w:rPr>
      </w:r>
    </w:p>
    <w:p>
      <w:pPr>
        <w:pStyle w:val="BodyText"/>
        <w:spacing w:before="3"/>
        <w:rPr>
          <w:sz w:val="12"/>
        </w:rPr>
      </w:pPr>
    </w:p>
    <w:p>
      <w:pPr>
        <w:spacing w:line="362" w:lineRule="auto" w:before="94"/>
        <w:ind w:left="496" w:right="315" w:firstLine="0"/>
        <w:jc w:val="both"/>
        <w:rPr>
          <w:b/>
          <w:sz w:val="16"/>
        </w:rPr>
      </w:pPr>
      <w:r>
        <w:rPr>
          <w:b/>
          <w:sz w:val="16"/>
        </w:rPr>
        <w:t>Figure 1.4 Nucleotides and nucleic acids: structure of an ATP molecule, a nucleotide (A); structures of the sugars and different bases present in nucleic acids (B); double-helical structure of DNA (C); and structure of a tRNA molecule showing local secondary structures (D).</w:t>
      </w:r>
    </w:p>
    <w:p>
      <w:pPr>
        <w:pStyle w:val="BodyText"/>
        <w:rPr>
          <w:b/>
          <w:sz w:val="18"/>
        </w:rPr>
      </w:pPr>
    </w:p>
    <w:p>
      <w:pPr>
        <w:pStyle w:val="BodyText"/>
        <w:rPr>
          <w:b/>
          <w:sz w:val="18"/>
        </w:rPr>
      </w:pPr>
    </w:p>
    <w:p>
      <w:pPr>
        <w:pStyle w:val="BodyText"/>
        <w:rPr>
          <w:b/>
          <w:sz w:val="18"/>
        </w:rPr>
      </w:pPr>
    </w:p>
    <w:p>
      <w:pPr>
        <w:pStyle w:val="BodyText"/>
        <w:rPr>
          <w:b/>
          <w:sz w:val="16"/>
        </w:rPr>
      </w:pPr>
    </w:p>
    <w:p>
      <w:pPr>
        <w:pStyle w:val="BodyText"/>
        <w:spacing w:line="360" w:lineRule="auto" w:before="1"/>
        <w:ind w:left="299" w:right="315"/>
        <w:jc w:val="both"/>
      </w:pPr>
      <w:r>
        <w:rPr/>
        <w:t>Nucleic acids constitute the genomes of living organisms, carry the information in the form of messengers, act as adapters, catalyze the biological reactions, and play regulatory and defense roles as well. Nucleic acids are the unbranched polymers of nucleotides; in a nucleic acid, each nucleotide, except the terminal ones, is linked to two nucleotides through phosphodiester bonds. Nucleic acids can be classified into two categories: ribonucleic acid (RNA; contains ribose sugar) and deoxyribonucleic acid (DNA; contains 2′-deoxyribose sugar). DNA can have A, G, C, and T as its bases while RNA can have A, G, C, and U. In nucleic acids, A can form hydrogen bonds with T and U while C can form hydrogen bonds with G. A-T, A-U, and G-C are said to constitute the complementary base pairs and play crucial roles in processes like replication, transcription, and translation. DNA is usually composed of two strands wrapped around each other in a double-helical fashion (dsDNA) (Figure 1.4C). Single stranded DNA (ssDNA), however, does exist in certain viruses. Similarly, RNA molecules are typically single stranded but certain viruses do have double stranded RNA (dsRNA). Furthermore, RNA molecules can also adopt local double-helical structures to adopt a 3-dimensional structure, </w:t>
      </w:r>
      <w:r>
        <w:rPr>
          <w:i/>
        </w:rPr>
        <w:t>e.g. </w:t>
      </w:r>
      <w:r>
        <w:rPr/>
        <w:t>tRNA (Figure 1.4D). In a double helical nucleic acid structure, the bases on one strand form hydrogen bonds with the complementary bases on the other. The bases lie roughly perpendicular to the nucleic</w:t>
      </w:r>
    </w:p>
    <w:p>
      <w:pPr>
        <w:spacing w:after="0" w:line="360" w:lineRule="auto"/>
        <w:jc w:val="both"/>
        <w:sectPr>
          <w:pgSz w:w="11910" w:h="16840"/>
          <w:pgMar w:header="722" w:footer="748" w:top="1300" w:bottom="940" w:left="1500" w:right="1480"/>
        </w:sectPr>
      </w:pPr>
    </w:p>
    <w:p>
      <w:pPr>
        <w:pStyle w:val="BodyText"/>
        <w:spacing w:line="360" w:lineRule="auto" w:before="119"/>
        <w:ind w:left="300"/>
      </w:pPr>
      <w:r>
        <w:rPr/>
        <w:t>acid backbone and the stacking interactions between them further stabilize the double helical structure.</w:t>
      </w:r>
    </w:p>
    <w:p>
      <w:pPr>
        <w:spacing w:before="200"/>
        <w:ind w:left="300" w:right="0" w:firstLine="0"/>
        <w:jc w:val="left"/>
        <w:rPr>
          <w:i/>
          <w:sz w:val="24"/>
        </w:rPr>
      </w:pPr>
      <w:r>
        <w:rPr>
          <w:i/>
          <w:sz w:val="24"/>
        </w:rPr>
        <w:t>Carbohydrates</w:t>
      </w:r>
    </w:p>
    <w:p>
      <w:pPr>
        <w:pStyle w:val="BodyText"/>
        <w:spacing w:before="4"/>
        <w:rPr>
          <w:i/>
          <w:sz w:val="29"/>
        </w:rPr>
      </w:pPr>
    </w:p>
    <w:p>
      <w:pPr>
        <w:pStyle w:val="BodyText"/>
        <w:spacing w:line="360" w:lineRule="auto" w:before="1"/>
        <w:ind w:left="300" w:right="317"/>
        <w:jc w:val="both"/>
      </w:pPr>
      <w:r>
        <w:rPr/>
        <w:t>Carbohydrates are the polyhydroxy aldehydes or ketones. Aldehyde sugars are often referred to as aldoses while ketone sugars are called ketoses. Monosaccharides such  as glucose and fructose are the simplest carbohydrates (Figure 1.5). The monosaccharides can join covalently to give disaccharides, oligosaccharides, and polysaccharides. Unlike proteins and nucleic acid, polysachharides can be branched. Based on their functions, polysaccharides can be classified as structural polysaccharides (</w:t>
      </w:r>
      <w:r>
        <w:rPr>
          <w:i/>
        </w:rPr>
        <w:t>e.g. </w:t>
      </w:r>
      <w:r>
        <w:rPr/>
        <w:t>cellulose and chitin) and storage polysachharides (</w:t>
      </w:r>
      <w:r>
        <w:rPr>
          <w:i/>
        </w:rPr>
        <w:t>e.g. </w:t>
      </w:r>
      <w:r>
        <w:rPr/>
        <w:t>starch and</w:t>
      </w:r>
      <w:r>
        <w:rPr>
          <w:spacing w:val="-1"/>
        </w:rPr>
        <w:t> </w:t>
      </w:r>
      <w:r>
        <w:rPr/>
        <w:t>glycogen).</w:t>
      </w:r>
    </w:p>
    <w:p>
      <w:pPr>
        <w:pStyle w:val="BodyText"/>
        <w:spacing w:before="8"/>
        <w:rPr>
          <w:sz w:val="14"/>
        </w:rPr>
      </w:pPr>
      <w:r>
        <w:rPr/>
        <w:drawing>
          <wp:anchor distT="0" distB="0" distL="0" distR="0" allowOverlap="1" layoutInCell="1" locked="0" behindDoc="0" simplePos="0" relativeHeight="4">
            <wp:simplePos x="0" y="0"/>
            <wp:positionH relativeFrom="page">
              <wp:posOffset>1320101</wp:posOffset>
            </wp:positionH>
            <wp:positionV relativeFrom="paragraph">
              <wp:posOffset>132127</wp:posOffset>
            </wp:positionV>
            <wp:extent cx="4988559" cy="3956304"/>
            <wp:effectExtent l="0" t="0" r="0" b="0"/>
            <wp:wrapTopAndBottom/>
            <wp:docPr id="9" name="image5.png"/>
            <wp:cNvGraphicFramePr>
              <a:graphicFrameLocks noChangeAspect="1"/>
            </wp:cNvGraphicFramePr>
            <a:graphic>
              <a:graphicData uri="http://schemas.openxmlformats.org/drawingml/2006/picture">
                <pic:pic>
                  <pic:nvPicPr>
                    <pic:cNvPr id="10" name="image5.png"/>
                    <pic:cNvPicPr/>
                  </pic:nvPicPr>
                  <pic:blipFill>
                    <a:blip r:embed="rId11" cstate="print"/>
                    <a:stretch>
                      <a:fillRect/>
                    </a:stretch>
                  </pic:blipFill>
                  <pic:spPr>
                    <a:xfrm>
                      <a:off x="0" y="0"/>
                      <a:ext cx="4988559" cy="3956304"/>
                    </a:xfrm>
                    <a:prstGeom prst="rect">
                      <a:avLst/>
                    </a:prstGeom>
                  </pic:spPr>
                </pic:pic>
              </a:graphicData>
            </a:graphic>
          </wp:anchor>
        </w:drawing>
      </w:r>
    </w:p>
    <w:p>
      <w:pPr>
        <w:spacing w:line="362" w:lineRule="auto" w:before="164"/>
        <w:ind w:left="496" w:right="317" w:firstLine="0"/>
        <w:jc w:val="both"/>
        <w:rPr>
          <w:b/>
          <w:sz w:val="16"/>
        </w:rPr>
      </w:pPr>
      <w:r>
        <w:rPr>
          <w:b/>
          <w:sz w:val="16"/>
        </w:rPr>
        <w:t>Figure 1.5 Open chain and ring structures of glucose (A) and fructose (B). Notice the two stereoisomers formed during cyclization of the open chain structure. A disaccharide (sucrose) formed from condensation of glucose and fructose  (C).</w:t>
      </w:r>
    </w:p>
    <w:p>
      <w:pPr>
        <w:spacing w:after="0" w:line="362" w:lineRule="auto"/>
        <w:jc w:val="both"/>
        <w:rPr>
          <w:sz w:val="16"/>
        </w:rPr>
        <w:sectPr>
          <w:pgSz w:w="11910" w:h="16840"/>
          <w:pgMar w:header="722" w:footer="748" w:top="1300" w:bottom="940" w:left="1500" w:right="1480"/>
        </w:sectPr>
      </w:pPr>
    </w:p>
    <w:p>
      <w:pPr>
        <w:spacing w:before="119"/>
        <w:ind w:left="300" w:right="0" w:firstLine="0"/>
        <w:jc w:val="left"/>
        <w:rPr>
          <w:i/>
          <w:sz w:val="24"/>
        </w:rPr>
      </w:pPr>
      <w:r>
        <w:rPr>
          <w:i/>
          <w:sz w:val="24"/>
        </w:rPr>
        <w:t>Lipids</w:t>
      </w:r>
    </w:p>
    <w:p>
      <w:pPr>
        <w:pStyle w:val="BodyText"/>
        <w:spacing w:before="5"/>
        <w:rPr>
          <w:i/>
          <w:sz w:val="29"/>
        </w:rPr>
      </w:pPr>
    </w:p>
    <w:p>
      <w:pPr>
        <w:pStyle w:val="BodyText"/>
        <w:spacing w:line="360" w:lineRule="auto"/>
        <w:ind w:left="300" w:right="316"/>
        <w:jc w:val="both"/>
      </w:pPr>
      <w:r>
        <w:rPr/>
        <w:t>Lipids are amphipathic molecules with polar head groups and non-polar hydrocarbon region. Like carbohydrates, lipids also have both structural and storage roles in living systems. Apart from these, lipids play important roles in signal transduction pathways inside the cells. In vertebrates, for example, triacylglycerols are stored as fuels in specialized cells called adipocytes. Phosphoinositides, phosphorylated forms of phosphatidylinositol, are involved in cell signaling and membrane trafficking. Structural lipids perhaps constitute the most important class of the lipids because it is the structural lipids that define a cell. Figure 1.6A shows the structure of a glycerophospholipid, the most common structural lipid present in biomembranes.</w:t>
      </w:r>
    </w:p>
    <w:p>
      <w:pPr>
        <w:pStyle w:val="BodyText"/>
        <w:rPr>
          <w:sz w:val="20"/>
        </w:rPr>
      </w:pPr>
    </w:p>
    <w:p>
      <w:pPr>
        <w:pStyle w:val="BodyText"/>
        <w:rPr>
          <w:sz w:val="20"/>
        </w:rPr>
      </w:pPr>
    </w:p>
    <w:p>
      <w:pPr>
        <w:pStyle w:val="BodyText"/>
        <w:rPr>
          <w:sz w:val="20"/>
        </w:rPr>
      </w:pPr>
    </w:p>
    <w:p>
      <w:pPr>
        <w:pStyle w:val="BodyText"/>
        <w:spacing w:before="1"/>
        <w:rPr>
          <w:sz w:val="13"/>
        </w:rPr>
      </w:pPr>
      <w:r>
        <w:rPr/>
        <w:drawing>
          <wp:anchor distT="0" distB="0" distL="0" distR="0" allowOverlap="1" layoutInCell="1" locked="0" behindDoc="0" simplePos="0" relativeHeight="5">
            <wp:simplePos x="0" y="0"/>
            <wp:positionH relativeFrom="page">
              <wp:posOffset>1340668</wp:posOffset>
            </wp:positionH>
            <wp:positionV relativeFrom="paragraph">
              <wp:posOffset>120647</wp:posOffset>
            </wp:positionV>
            <wp:extent cx="4999301" cy="2499360"/>
            <wp:effectExtent l="0" t="0" r="0" b="0"/>
            <wp:wrapTopAndBottom/>
            <wp:docPr id="11" name="image6.png" descr="Figure 1.6.tif"/>
            <wp:cNvGraphicFramePr>
              <a:graphicFrameLocks noChangeAspect="1"/>
            </wp:cNvGraphicFramePr>
            <a:graphic>
              <a:graphicData uri="http://schemas.openxmlformats.org/drawingml/2006/picture">
                <pic:pic>
                  <pic:nvPicPr>
                    <pic:cNvPr id="12" name="image6.png"/>
                    <pic:cNvPicPr/>
                  </pic:nvPicPr>
                  <pic:blipFill>
                    <a:blip r:embed="rId12" cstate="print"/>
                    <a:stretch>
                      <a:fillRect/>
                    </a:stretch>
                  </pic:blipFill>
                  <pic:spPr>
                    <a:xfrm>
                      <a:off x="0" y="0"/>
                      <a:ext cx="4999301" cy="2499360"/>
                    </a:xfrm>
                    <a:prstGeom prst="rect">
                      <a:avLst/>
                    </a:prstGeom>
                  </pic:spPr>
                </pic:pic>
              </a:graphicData>
            </a:graphic>
          </wp:anchor>
        </w:drawing>
      </w:r>
    </w:p>
    <w:p>
      <w:pPr>
        <w:pStyle w:val="BodyText"/>
        <w:spacing w:before="5"/>
        <w:rPr>
          <w:sz w:val="20"/>
        </w:rPr>
      </w:pPr>
    </w:p>
    <w:p>
      <w:pPr>
        <w:spacing w:line="362" w:lineRule="auto" w:before="1"/>
        <w:ind w:left="3988" w:right="443" w:hanging="3358"/>
        <w:jc w:val="left"/>
        <w:rPr>
          <w:b/>
          <w:sz w:val="16"/>
        </w:rPr>
      </w:pPr>
      <w:r>
        <w:rPr>
          <w:b/>
          <w:sz w:val="16"/>
        </w:rPr>
        <w:t>Figure 1.6 A glycerophospholipid showing the amphipathic nature of lipids (A). Self-assembly of lipids producing a lipid bilayer (B).</w:t>
      </w:r>
    </w:p>
    <w:p>
      <w:pPr>
        <w:pStyle w:val="BodyText"/>
        <w:spacing w:before="8"/>
        <w:rPr>
          <w:b/>
          <w:sz w:val="16"/>
        </w:rPr>
      </w:pPr>
    </w:p>
    <w:p>
      <w:pPr>
        <w:pStyle w:val="BodyText"/>
        <w:spacing w:line="360" w:lineRule="auto"/>
        <w:ind w:left="299" w:right="315"/>
        <w:jc w:val="both"/>
      </w:pPr>
      <w:r>
        <w:rPr/>
        <w:t>The amphipathic nature of the lipids allows them to self-assemble in aqueous solutions to form a bilayer (Figure 1.6B). The assembled lipid bilayer has polar head groups interacting with water molecules whereas non-polar hydrocarbon regions are buried inside making the membrane core highly hydrophobic that acts as a barrier for polar and charged chemical species. It is this barrier that separates a cell from the external environment. A cell, however, needs to communicate and exchange material with its environment. To accomplish these tasks, biological membranes have acquired specialized</w:t>
      </w:r>
      <w:r>
        <w:rPr>
          <w:spacing w:val="-1"/>
        </w:rPr>
        <w:t> </w:t>
      </w:r>
      <w:r>
        <w:rPr/>
        <w:t>proteins.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8"/>
        <w:jc w:val="both"/>
      </w:pPr>
      <w:r>
        <w:rPr/>
        <w:t>Having reviewed the structures of the four major biomolecules, we are now ready to look at the bioanalytical techniques that have gained importance in recent times (Lecture 2) and to go through them in detail in the following lectures.</w:t>
      </w:r>
    </w:p>
    <w:p>
      <w:pPr>
        <w:spacing w:after="0" w:line="360" w:lineRule="auto"/>
        <w:jc w:val="both"/>
        <w:sectPr>
          <w:pgSz w:w="11910" w:h="16840"/>
          <w:pgMar w:header="722" w:footer="748" w:top="1300" w:bottom="940" w:left="1500" w:right="1480"/>
        </w:sectPr>
      </w:pPr>
    </w:p>
    <w:p>
      <w:pPr>
        <w:pStyle w:val="Heading4"/>
        <w:spacing w:before="124"/>
        <w:ind w:left="596" w:right="617"/>
        <w:jc w:val="center"/>
      </w:pPr>
      <w:r>
        <w:rPr/>
        <w:t>QUIZ</w:t>
      </w:r>
    </w:p>
    <w:p>
      <w:pPr>
        <w:pStyle w:val="BodyText"/>
        <w:spacing w:before="1"/>
        <w:rPr>
          <w:b/>
          <w:sz w:val="21"/>
        </w:rPr>
      </w:pPr>
    </w:p>
    <w:p>
      <w:pPr>
        <w:spacing w:line="276" w:lineRule="auto" w:before="0"/>
        <w:ind w:left="300" w:right="497" w:firstLine="0"/>
        <w:jc w:val="left"/>
        <w:rPr>
          <w:b/>
          <w:sz w:val="24"/>
        </w:rPr>
      </w:pPr>
      <w:r>
        <w:rPr>
          <w:b/>
          <w:sz w:val="24"/>
        </w:rPr>
        <w:t>Q1: Molecular weight of alanine is 89.09 Da. What will be the molecular weight of a 10-residue peptide composed entirely of alanine?</w:t>
      </w:r>
    </w:p>
    <w:p>
      <w:pPr>
        <w:pStyle w:val="BodyText"/>
        <w:spacing w:before="191"/>
        <w:ind w:left="300" w:right="998"/>
      </w:pPr>
      <w:r>
        <w:rPr>
          <w:b/>
        </w:rPr>
        <w:t>Ans: </w:t>
      </w:r>
      <w:r>
        <w:rPr/>
        <w:t>Formation of a peptide bond between two amino acids is accompanied by release of a water molecule. Synthesis of a decapeptide (a 10-residue peptide) involves formation of nine peptide bonds </w:t>
      </w:r>
      <w:r>
        <w:rPr>
          <w:i/>
        </w:rPr>
        <w:t>i.e. </w:t>
      </w:r>
      <w:r>
        <w:rPr/>
        <w:t>removal of nine water molecules. Therefore, the molecular weight of the peptide will be:</w:t>
      </w:r>
    </w:p>
    <w:p>
      <w:pPr>
        <w:pStyle w:val="BodyText"/>
        <w:spacing w:before="3"/>
        <w:rPr>
          <w:sz w:val="36"/>
        </w:rPr>
      </w:pPr>
    </w:p>
    <w:p>
      <w:pPr>
        <w:pStyle w:val="BodyText"/>
        <w:tabs>
          <w:tab w:pos="2459" w:val="left" w:leader="none"/>
        </w:tabs>
        <w:spacing w:before="1"/>
        <w:ind w:left="300"/>
      </w:pPr>
      <w:r>
        <w:rPr/>
        <w:t>Molecular</w:t>
      </w:r>
      <w:r>
        <w:rPr>
          <w:spacing w:val="-3"/>
        </w:rPr>
        <w:t> </w:t>
      </w:r>
      <w:r>
        <w:rPr/>
        <w:t>weight</w:t>
        <w:tab/>
        <w:t>= {(10 × 89.09) – (9 × 18)}</w:t>
      </w:r>
      <w:r>
        <w:rPr>
          <w:spacing w:val="-3"/>
        </w:rPr>
        <w:t> </w:t>
      </w:r>
      <w:r>
        <w:rPr/>
        <w:t>Da</w:t>
      </w:r>
    </w:p>
    <w:p>
      <w:pPr>
        <w:pStyle w:val="BodyText"/>
        <w:spacing w:before="136"/>
        <w:ind w:left="2460"/>
      </w:pPr>
      <w:r>
        <w:rPr/>
        <w:t>= (890.9 – 162) Da</w:t>
      </w:r>
    </w:p>
    <w:p>
      <w:pPr>
        <w:pStyle w:val="BodyText"/>
        <w:spacing w:before="140"/>
        <w:ind w:left="2460"/>
      </w:pPr>
      <w:r>
        <w:rPr/>
        <w:t>= 728.9 Da</w:t>
      </w:r>
    </w:p>
    <w:p>
      <w:pPr>
        <w:pStyle w:val="Heading4"/>
        <w:spacing w:line="278" w:lineRule="auto" w:before="141"/>
        <w:ind w:right="443"/>
        <w:jc w:val="left"/>
      </w:pPr>
      <w:r>
        <w:rPr/>
        <w:t>Q2: How does a partial double bond on peptide bond put constraints on proteins’</w:t>
      </w:r>
      <w:r>
        <w:rPr>
          <w:spacing w:val="-2"/>
        </w:rPr>
        <w:t> </w:t>
      </w:r>
      <w:r>
        <w:rPr/>
        <w:t>conformations?</w:t>
      </w:r>
    </w:p>
    <w:p>
      <w:pPr>
        <w:pStyle w:val="BodyText"/>
        <w:spacing w:line="360" w:lineRule="auto" w:before="190"/>
        <w:ind w:left="300" w:right="558"/>
      </w:pPr>
      <w:r>
        <w:rPr>
          <w:b/>
        </w:rPr>
        <w:t>Ans: </w:t>
      </w:r>
      <w:r>
        <w:rPr/>
        <w:t>Due to partial double bond character, rotation about the peptide bond is not possible therefore restricting the number of conformations a polypeptide chain can adopt. If there were rotation possible about peptide bond, a protein would be able to sample many more conformations.</w:t>
      </w:r>
    </w:p>
    <w:p>
      <w:pPr>
        <w:pStyle w:val="Heading4"/>
        <w:spacing w:line="278" w:lineRule="auto" w:before="205"/>
        <w:jc w:val="left"/>
      </w:pPr>
      <w:r>
        <w:rPr/>
        <w:t>Q3: Write down the sequence(s) of RNA molecule(s) that the following DNA molecule can generate (assume entire molecule is transcribed to RNA):</w:t>
      </w:r>
    </w:p>
    <w:p>
      <w:pPr>
        <w:spacing w:before="195"/>
        <w:ind w:left="2460" w:right="0" w:firstLine="0"/>
        <w:jc w:val="left"/>
        <w:rPr>
          <w:b/>
          <w:sz w:val="24"/>
        </w:rPr>
      </w:pPr>
      <w:r>
        <w:rPr>
          <w:b/>
          <w:sz w:val="24"/>
        </w:rPr>
        <w:t>5’–TACGCTGAC–3’</w:t>
      </w:r>
    </w:p>
    <w:p>
      <w:pPr>
        <w:spacing w:before="40"/>
        <w:ind w:left="2460" w:right="0" w:firstLine="0"/>
        <w:jc w:val="left"/>
        <w:rPr>
          <w:b/>
          <w:sz w:val="24"/>
        </w:rPr>
      </w:pPr>
      <w:r>
        <w:rPr>
          <w:b/>
          <w:sz w:val="24"/>
        </w:rPr>
        <w:t>3’–ATGCGACTG-5’</w:t>
      </w:r>
    </w:p>
    <w:p>
      <w:pPr>
        <w:pStyle w:val="BodyText"/>
        <w:spacing w:before="8"/>
        <w:rPr>
          <w:b/>
          <w:sz w:val="20"/>
        </w:rPr>
      </w:pPr>
    </w:p>
    <w:p>
      <w:pPr>
        <w:pStyle w:val="BodyText"/>
        <w:spacing w:line="276" w:lineRule="auto"/>
        <w:ind w:left="300" w:right="538"/>
        <w:jc w:val="both"/>
      </w:pPr>
      <w:r>
        <w:rPr>
          <w:b/>
        </w:rPr>
        <w:t>Ans: </w:t>
      </w:r>
      <w:r>
        <w:rPr/>
        <w:t>In biological systems, nucleic acids are synthesized from 5’–3’ end. Assuming that both the DNA strands can template the transcription, following RNA molecules will be generated:</w:t>
      </w:r>
    </w:p>
    <w:p>
      <w:pPr>
        <w:spacing w:line="451" w:lineRule="auto" w:before="200"/>
        <w:ind w:left="300" w:right="2403" w:firstLine="0"/>
        <w:jc w:val="left"/>
        <w:rPr>
          <w:sz w:val="24"/>
        </w:rPr>
      </w:pPr>
      <w:r>
        <w:rPr>
          <w:sz w:val="24"/>
        </w:rPr>
        <w:t>From </w:t>
      </w:r>
      <w:r>
        <w:rPr>
          <w:b/>
          <w:sz w:val="24"/>
        </w:rPr>
        <w:t>5’–TACGCTGAC–3’ </w:t>
      </w:r>
      <w:r>
        <w:rPr>
          <w:sz w:val="24"/>
        </w:rPr>
        <w:t>strand: 5’–GUCAGCGUA–3’ From </w:t>
      </w:r>
      <w:r>
        <w:rPr>
          <w:b/>
          <w:sz w:val="24"/>
        </w:rPr>
        <w:t>3’–ATGCGACTG-5’ </w:t>
      </w:r>
      <w:r>
        <w:rPr>
          <w:sz w:val="24"/>
        </w:rPr>
        <w:t>strand: 5’–UACGCUGAC–3’</w:t>
      </w:r>
    </w:p>
    <w:p>
      <w:pPr>
        <w:pStyle w:val="Heading4"/>
        <w:spacing w:line="451" w:lineRule="auto" w:before="1"/>
        <w:ind w:right="3090"/>
        <w:jc w:val="left"/>
      </w:pPr>
      <w:r>
        <w:rPr/>
        <w:t>Q4: Which of the following molecules act as enzymes? Proteins, Nucleic acids, Carbohydrates, Lipids</w:t>
      </w:r>
    </w:p>
    <w:p>
      <w:pPr>
        <w:pStyle w:val="BodyText"/>
        <w:spacing w:line="278" w:lineRule="auto"/>
        <w:ind w:left="300" w:right="400"/>
      </w:pPr>
      <w:r>
        <w:rPr>
          <w:b/>
        </w:rPr>
        <w:t>Ans: </w:t>
      </w:r>
      <w:r>
        <w:rPr/>
        <w:t>Most enzymes are proteins but RNA molecules also catalyze certain biochemical reactions. Therefore, both proteins and nucleic acids can act as enzymes.</w:t>
      </w:r>
    </w:p>
    <w:p>
      <w:pPr>
        <w:spacing w:after="0" w:line="278" w:lineRule="auto"/>
        <w:sectPr>
          <w:pgSz w:w="11910" w:h="16840"/>
          <w:pgMar w:header="722" w:footer="748" w:top="1300" w:bottom="940" w:left="1500" w:right="1480"/>
        </w:sectPr>
      </w:pPr>
    </w:p>
    <w:p>
      <w:pPr>
        <w:pStyle w:val="Heading2"/>
      </w:pPr>
      <w:r>
        <w:rPr/>
        <w:t>Lecture 2 Modern Approaches in Bioanalysis and Bioassays</w:t>
      </w:r>
    </w:p>
    <w:p>
      <w:pPr>
        <w:pStyle w:val="BodyText"/>
        <w:spacing w:before="10"/>
        <w:rPr>
          <w:b/>
          <w:sz w:val="32"/>
        </w:rPr>
      </w:pPr>
    </w:p>
    <w:p>
      <w:pPr>
        <w:pStyle w:val="BodyText"/>
        <w:spacing w:line="360" w:lineRule="auto" w:before="1"/>
        <w:ind w:left="300" w:right="315"/>
        <w:jc w:val="both"/>
      </w:pPr>
      <w:r>
        <w:rPr/>
        <w:pict>
          <v:shape style="position:absolute;margin-left:243.550003pt;margin-top:65.373131pt;width:258.7pt;height:70.45pt;mso-position-horizontal-relative:page;mso-position-vertical-relative:paragraph;z-index:-18535936" type="#_x0000_t202" filled="true" fillcolor="#ffff00" stroked="false">
            <v:textbox inset="0,0,0,0">
              <w:txbxContent>
                <w:p>
                  <w:pPr>
                    <w:pStyle w:val="BodyText"/>
                    <w:spacing w:line="276" w:lineRule="auto" w:before="66"/>
                    <w:ind w:left="145" w:right="140"/>
                    <w:jc w:val="both"/>
                  </w:pPr>
                  <w:r>
                    <w:rPr/>
                    <w:t>Pharmacokinetics: Branch of pharmacology that deals with understanding what happens to a drug from the point it is administered into the body till it is</w:t>
                  </w:r>
                  <w:r>
                    <w:rPr>
                      <w:spacing w:val="-1"/>
                    </w:rPr>
                    <w:t> </w:t>
                  </w:r>
                  <w:r>
                    <w:rPr/>
                    <w:t>eliminated.</w:t>
                  </w:r>
                </w:p>
              </w:txbxContent>
            </v:textbox>
            <v:fill type="solid"/>
            <w10:wrap type="none"/>
          </v:shape>
        </w:pict>
      </w:r>
      <w:r>
        <w:rPr/>
        <w:t>Initial bioanalytical methods were not highly specific and were relatively insensitive as compared to the modern methods. The assays included colorimetric estimation of the compounds or simple bioassays, such as antibiotic estimation by quantifying their ability to inhibit</w:t>
      </w:r>
      <w:r>
        <w:rPr>
          <w:spacing w:val="58"/>
        </w:rPr>
        <w:t> </w:t>
      </w:r>
      <w:r>
        <w:rPr/>
        <w:t>microbial</w:t>
      </w:r>
    </w:p>
    <w:p>
      <w:pPr>
        <w:pStyle w:val="BodyText"/>
        <w:spacing w:line="360" w:lineRule="auto"/>
        <w:ind w:left="300" w:right="5732"/>
        <w:jc w:val="both"/>
      </w:pPr>
      <w:r>
        <w:rPr/>
        <w:t>growth. Development </w:t>
      </w:r>
      <w:r>
        <w:rPr>
          <w:spacing w:val="-6"/>
        </w:rPr>
        <w:t>of </w:t>
      </w:r>
      <w:r>
        <w:rPr/>
        <w:t>pharmacokinetics </w:t>
      </w:r>
      <w:r>
        <w:rPr>
          <w:spacing w:val="-3"/>
        </w:rPr>
        <w:t>during </w:t>
      </w:r>
      <w:r>
        <w:rPr/>
        <w:t>1930s  started  demanding</w:t>
      </w:r>
      <w:r>
        <w:rPr>
          <w:spacing w:val="27"/>
        </w:rPr>
        <w:t> </w:t>
      </w:r>
      <w:r>
        <w:rPr>
          <w:spacing w:val="-4"/>
        </w:rPr>
        <w:t>for</w:t>
      </w:r>
    </w:p>
    <w:p>
      <w:pPr>
        <w:pStyle w:val="BodyText"/>
        <w:spacing w:line="360" w:lineRule="auto" w:before="1"/>
        <w:ind w:left="300" w:right="316"/>
        <w:jc w:val="both"/>
      </w:pPr>
      <w:r>
        <w:rPr/>
        <w:t>more specific and sensitive methods to accurately determine the concentrations of drugs and metabolites in biological specimens. Around this time, spectroscopic techniques such as UV/Visible spectroscopy, infrared spectroscopy, and chiroptical spectroscopy were seeing advancement but were largely restricted to the analysis of chemical compounds. Lack of sensitive instrumentation around that time further restricted their applications to biological samples that usually have low concentrations of molecules. Second half of the 20</w:t>
      </w:r>
      <w:r>
        <w:rPr>
          <w:vertAlign w:val="superscript"/>
        </w:rPr>
        <w:t>th</w:t>
      </w:r>
      <w:r>
        <w:rPr>
          <w:vertAlign w:val="baseline"/>
        </w:rPr>
        <w:t> century saw a rapid development in the instrumentation and development of new methodologies that eventually would find applications in life sciences and medicine. Liquid chromatography turned out to be a major advancement towards achieving sensitivity and power of resolving the closely- related metabolites. Reversed-phase chromatography, for example, has proved to be an excellent tool for resolving and analyzing the small molecules with excellent sensitivity. Electrophoresis is another powerful tool for analyzing and separating biomolecules. </w:t>
      </w:r>
      <w:r>
        <w:rPr>
          <w:spacing w:val="-3"/>
          <w:vertAlign w:val="baseline"/>
        </w:rPr>
        <w:t>It </w:t>
      </w:r>
      <w:r>
        <w:rPr>
          <w:vertAlign w:val="baseline"/>
        </w:rPr>
        <w:t>has turned out to be an indispensable tool for analyzing nucleic acids. Integrity of isolated nucleic acids, cleavage of DNA molecules by restriction enzymes, mapping of restriction sites in a DNA molecule, and joining of two or more DNA fragments by ligases are some of the diverse applications of electrophoresis in a molecular genetics laboratory (Figure 2.1). DNA molecules differing in even one base pair can be separated by electrophoresis; this allows sequencing of DNA by Sanger’s method. Electrophoresis is also used to analyze proteins. Electrophoresis allows separation</w:t>
      </w:r>
      <w:r>
        <w:rPr>
          <w:spacing w:val="13"/>
          <w:vertAlign w:val="baseline"/>
        </w:rPr>
        <w:t> </w:t>
      </w:r>
      <w:r>
        <w:rPr>
          <w:vertAlign w:val="baseline"/>
        </w:rPr>
        <w:t>of</w:t>
      </w:r>
      <w:r>
        <w:rPr>
          <w:spacing w:val="12"/>
          <w:vertAlign w:val="baseline"/>
        </w:rPr>
        <w:t> </w:t>
      </w:r>
      <w:r>
        <w:rPr>
          <w:vertAlign w:val="baseline"/>
        </w:rPr>
        <w:t>proteins</w:t>
      </w:r>
      <w:r>
        <w:rPr>
          <w:spacing w:val="13"/>
          <w:vertAlign w:val="baseline"/>
        </w:rPr>
        <w:t> </w:t>
      </w:r>
      <w:r>
        <w:rPr>
          <w:vertAlign w:val="baseline"/>
        </w:rPr>
        <w:t>based</w:t>
      </w:r>
      <w:r>
        <w:rPr>
          <w:spacing w:val="13"/>
          <w:vertAlign w:val="baseline"/>
        </w:rPr>
        <w:t> </w:t>
      </w:r>
      <w:r>
        <w:rPr>
          <w:vertAlign w:val="baseline"/>
        </w:rPr>
        <w:t>on</w:t>
      </w:r>
      <w:r>
        <w:rPr>
          <w:spacing w:val="13"/>
          <w:vertAlign w:val="baseline"/>
        </w:rPr>
        <w:t> </w:t>
      </w:r>
      <w:r>
        <w:rPr>
          <w:vertAlign w:val="baseline"/>
        </w:rPr>
        <w:t>their</w:t>
      </w:r>
      <w:r>
        <w:rPr>
          <w:spacing w:val="13"/>
          <w:vertAlign w:val="baseline"/>
        </w:rPr>
        <w:t> </w:t>
      </w:r>
      <w:r>
        <w:rPr>
          <w:vertAlign w:val="baseline"/>
        </w:rPr>
        <w:t>isoelectric</w:t>
      </w:r>
      <w:r>
        <w:rPr>
          <w:spacing w:val="12"/>
          <w:vertAlign w:val="baseline"/>
        </w:rPr>
        <w:t> </w:t>
      </w:r>
      <w:r>
        <w:rPr>
          <w:vertAlign w:val="baseline"/>
        </w:rPr>
        <w:t>points.</w:t>
      </w:r>
      <w:r>
        <w:rPr>
          <w:spacing w:val="13"/>
          <w:vertAlign w:val="baseline"/>
        </w:rPr>
        <w:t> </w:t>
      </w:r>
      <w:r>
        <w:rPr>
          <w:vertAlign w:val="baseline"/>
        </w:rPr>
        <w:t>SDS-PAGE</w:t>
      </w:r>
      <w:r>
        <w:rPr>
          <w:spacing w:val="13"/>
          <w:vertAlign w:val="baseline"/>
        </w:rPr>
        <w:t> </w:t>
      </w:r>
      <w:r>
        <w:rPr>
          <w:vertAlign w:val="baseline"/>
        </w:rPr>
        <w:t>(Sodium</w:t>
      </w:r>
      <w:r>
        <w:rPr>
          <w:spacing w:val="13"/>
          <w:vertAlign w:val="baseline"/>
        </w:rPr>
        <w:t> </w:t>
      </w:r>
      <w:r>
        <w:rPr>
          <w:vertAlign w:val="baseline"/>
        </w:rPr>
        <w:t>dodecyl</w:t>
      </w:r>
    </w:p>
    <w:p>
      <w:pPr>
        <w:pStyle w:val="BodyText"/>
        <w:spacing w:line="360" w:lineRule="auto"/>
        <w:ind w:left="299" w:right="320"/>
        <w:jc w:val="both"/>
      </w:pPr>
      <w:r>
        <w:rPr/>
        <w:t>– polyacrylamide gel electrophoresis) of proteins separates the proteins based on their size and therefore allows determination of their molecular weights (discussed in lecture 32).</w:t>
      </w:r>
    </w:p>
    <w:p>
      <w:pPr>
        <w:spacing w:after="0" w:line="360" w:lineRule="auto"/>
        <w:jc w:val="both"/>
        <w:sectPr>
          <w:pgSz w:w="11910" w:h="16840"/>
          <w:pgMar w:header="722" w:footer="748" w:top="1300" w:bottom="940" w:left="1500" w:right="1480"/>
        </w:sectPr>
      </w:pPr>
    </w:p>
    <w:p>
      <w:pPr>
        <w:pStyle w:val="BodyText"/>
        <w:spacing w:before="11"/>
        <w:rPr>
          <w:sz w:val="16"/>
        </w:rPr>
      </w:pPr>
    </w:p>
    <w:p>
      <w:pPr>
        <w:pStyle w:val="BodyText"/>
        <w:ind w:left="569"/>
        <w:rPr>
          <w:sz w:val="20"/>
        </w:rPr>
      </w:pPr>
      <w:r>
        <w:rPr>
          <w:sz w:val="20"/>
        </w:rPr>
        <w:drawing>
          <wp:inline distT="0" distB="0" distL="0" distR="0">
            <wp:extent cx="5077723" cy="1645920"/>
            <wp:effectExtent l="0" t="0" r="0" b="0"/>
            <wp:docPr id="13" name="image7.png" descr="Figure 2.1.tif"/>
            <wp:cNvGraphicFramePr>
              <a:graphicFrameLocks noChangeAspect="1"/>
            </wp:cNvGraphicFramePr>
            <a:graphic>
              <a:graphicData uri="http://schemas.openxmlformats.org/drawingml/2006/picture">
                <pic:pic>
                  <pic:nvPicPr>
                    <pic:cNvPr id="14" name="image7.png"/>
                    <pic:cNvPicPr/>
                  </pic:nvPicPr>
                  <pic:blipFill>
                    <a:blip r:embed="rId13" cstate="print"/>
                    <a:stretch>
                      <a:fillRect/>
                    </a:stretch>
                  </pic:blipFill>
                  <pic:spPr>
                    <a:xfrm>
                      <a:off x="0" y="0"/>
                      <a:ext cx="5077723" cy="1645920"/>
                    </a:xfrm>
                    <a:prstGeom prst="rect">
                      <a:avLst/>
                    </a:prstGeom>
                  </pic:spPr>
                </pic:pic>
              </a:graphicData>
            </a:graphic>
          </wp:inline>
        </w:drawing>
      </w:r>
      <w:r>
        <w:rPr>
          <w:sz w:val="20"/>
        </w:rPr>
      </w:r>
    </w:p>
    <w:p>
      <w:pPr>
        <w:pStyle w:val="BodyText"/>
        <w:spacing w:before="2"/>
        <w:rPr>
          <w:sz w:val="23"/>
        </w:rPr>
      </w:pPr>
    </w:p>
    <w:p>
      <w:pPr>
        <w:spacing w:before="95"/>
        <w:ind w:left="793" w:right="617" w:firstLine="0"/>
        <w:jc w:val="center"/>
        <w:rPr>
          <w:b/>
          <w:sz w:val="16"/>
        </w:rPr>
      </w:pPr>
      <w:r>
        <w:rPr>
          <w:b/>
          <w:sz w:val="16"/>
        </w:rPr>
        <w:t>Figure 2.1 Restriction digestion of a DNA molecule assessed by agarose gel electrophoresis</w:t>
      </w:r>
    </w:p>
    <w:p>
      <w:pPr>
        <w:pStyle w:val="BodyText"/>
        <w:spacing w:before="9"/>
        <w:rPr>
          <w:b/>
        </w:rPr>
      </w:pPr>
    </w:p>
    <w:p>
      <w:pPr>
        <w:pStyle w:val="BodyText"/>
        <w:spacing w:line="360" w:lineRule="auto" w:before="1"/>
        <w:ind w:left="299" w:right="313"/>
        <w:jc w:val="both"/>
      </w:pPr>
      <w:r>
        <w:rPr/>
        <w:t>Quantification of an analyte, as has been discussed in the previous lecture, is among the most common applications of analytical tools. You may be familiar with the use  of UV/visible light for recording absorption of organic molecules to determine the concentration of the compound. </w:t>
      </w:r>
      <w:r>
        <w:rPr>
          <w:spacing w:val="-3"/>
        </w:rPr>
        <w:t>It </w:t>
      </w:r>
      <w:r>
        <w:rPr/>
        <w:t>is therefore clear that light or electromagnetic radiation can interact with the matter providing useful information about it.  Interaction of electromagnetic radiation with matter is termed as spectroscopy. Absorption of UV/visible radiation is associated with electronic transitions in the molecules; UV/Visible spectroscopy is therefore also referred to as the electronic spectroscopy. Absorption of ultraviolet and/or visible radiation is the most commonly employed method to estimate the concentration of biomolecules such as proteins, peptides, nucleotides, nucleic acids, carbohydrates, and lipids. Absorption at 260 nm and 280 nm provides information about the nucleic acid contamination in</w:t>
      </w:r>
      <w:r>
        <w:rPr>
          <w:spacing w:val="25"/>
        </w:rPr>
        <w:t> </w:t>
      </w:r>
      <w:r>
        <w:rPr/>
        <w:t>protein</w:t>
      </w:r>
    </w:p>
    <w:p>
      <w:pPr>
        <w:spacing w:after="0" w:line="360" w:lineRule="auto"/>
        <w:jc w:val="both"/>
        <w:sectPr>
          <w:pgSz w:w="11910" w:h="16840"/>
          <w:pgMar w:header="722" w:footer="748" w:top="1300" w:bottom="940" w:left="1500" w:right="1480"/>
        </w:sectPr>
      </w:pPr>
    </w:p>
    <w:p>
      <w:pPr>
        <w:pStyle w:val="BodyText"/>
        <w:spacing w:line="245" w:lineRule="exact" w:before="62"/>
        <w:ind w:left="299"/>
        <w:rPr>
          <w:rFonts w:ascii="Symbola" w:eastAsia="Symbola"/>
        </w:rPr>
      </w:pPr>
      <w:r>
        <w:rPr/>
        <w:t>preparations. </w:t>
      </w:r>
      <w:r>
        <w:rPr>
          <w:spacing w:val="16"/>
        </w:rPr>
        <w:t> </w:t>
      </w:r>
      <w:r>
        <w:rPr/>
        <w:t>Phenol </w:t>
      </w:r>
      <w:r>
        <w:rPr>
          <w:spacing w:val="17"/>
        </w:rPr>
        <w:t> </w:t>
      </w:r>
      <w:r>
        <w:rPr/>
        <w:t>is </w:t>
      </w:r>
      <w:r>
        <w:rPr>
          <w:spacing w:val="15"/>
        </w:rPr>
        <w:t> </w:t>
      </w:r>
      <w:r>
        <w:rPr/>
        <w:t>commonly </w:t>
      </w:r>
      <w:r>
        <w:rPr>
          <w:spacing w:val="8"/>
        </w:rPr>
        <w:t> </w:t>
      </w:r>
      <w:r>
        <w:rPr/>
        <w:t>used </w:t>
      </w:r>
      <w:r>
        <w:rPr>
          <w:spacing w:val="17"/>
        </w:rPr>
        <w:t> </w:t>
      </w:r>
      <w:r>
        <w:rPr/>
        <w:t>to </w:t>
      </w:r>
      <w:r>
        <w:rPr>
          <w:spacing w:val="16"/>
        </w:rPr>
        <w:t> </w:t>
      </w:r>
      <w:r>
        <w:rPr/>
        <w:t>isolate </w:t>
      </w:r>
      <w:r>
        <w:rPr>
          <w:spacing w:val="15"/>
        </w:rPr>
        <w:t> </w:t>
      </w:r>
      <w:r>
        <w:rPr/>
        <w:t>nucleic </w:t>
      </w:r>
      <w:r>
        <w:rPr>
          <w:spacing w:val="16"/>
        </w:rPr>
        <w:t> </w:t>
      </w:r>
      <w:r>
        <w:rPr/>
        <w:t>acids; </w:t>
      </w:r>
      <w:r>
        <w:rPr>
          <w:spacing w:val="17"/>
        </w:rPr>
        <w:t> </w:t>
      </w:r>
      <w:r>
        <w:rPr>
          <w:rFonts w:ascii="Symbola" w:eastAsia="Symbola"/>
          <w:spacing w:val="-6"/>
          <w:u w:val="single"/>
          <w:vertAlign w:val="superscript"/>
        </w:rPr>
        <w:t>𝐴260</w:t>
      </w:r>
    </w:p>
    <w:p>
      <w:pPr>
        <w:spacing w:line="163" w:lineRule="exact" w:before="0"/>
        <w:ind w:left="0" w:right="0" w:firstLine="0"/>
        <w:jc w:val="right"/>
        <w:rPr>
          <w:rFonts w:ascii="Symbola" w:eastAsia="Symbola"/>
          <w:sz w:val="14"/>
        </w:rPr>
      </w:pPr>
      <w:r>
        <w:rPr>
          <w:rFonts w:ascii="Symbola" w:eastAsia="Symbola"/>
          <w:w w:val="115"/>
          <w:position w:val="3"/>
          <w:sz w:val="17"/>
        </w:rPr>
        <w:t>𝐴</w:t>
      </w:r>
      <w:r>
        <w:rPr>
          <w:rFonts w:ascii="Symbola" w:eastAsia="Symbola"/>
          <w:w w:val="115"/>
          <w:sz w:val="14"/>
        </w:rPr>
        <w:t>280</w:t>
      </w:r>
    </w:p>
    <w:p>
      <w:pPr>
        <w:pStyle w:val="BodyText"/>
        <w:spacing w:before="62"/>
        <w:ind w:left="95"/>
      </w:pPr>
      <w:r>
        <w:rPr/>
        <w:br w:type="column"/>
      </w:r>
      <w:r>
        <w:rPr/>
        <w:t>is used to</w:t>
      </w:r>
    </w:p>
    <w:p>
      <w:pPr>
        <w:spacing w:after="0"/>
        <w:sectPr>
          <w:type w:val="continuous"/>
          <w:pgSz w:w="11910" w:h="16840"/>
          <w:pgMar w:top="1300" w:bottom="940" w:left="1500" w:right="1480"/>
          <w:cols w:num="2" w:equalWidth="0">
            <w:col w:w="7427" w:space="40"/>
            <w:col w:w="1463"/>
          </w:cols>
        </w:sectPr>
      </w:pPr>
    </w:p>
    <w:p>
      <w:pPr>
        <w:pStyle w:val="BodyText"/>
        <w:spacing w:line="360" w:lineRule="auto" w:before="113"/>
        <w:ind w:left="300" w:right="313"/>
        <w:jc w:val="both"/>
      </w:pPr>
      <w:r>
        <w:rPr/>
        <w:t>determine phenol contamination in nucleic acid preparations and has become a routinely used method in molecular biology laboratories. Electronic spectroscopy goes beyond quantification of biomolecules: fluorescence spectroscopy is used to study various biological processes </w:t>
      </w:r>
      <w:r>
        <w:rPr>
          <w:i/>
        </w:rPr>
        <w:t>viz. </w:t>
      </w:r>
      <w:r>
        <w:rPr/>
        <w:t>protein folding/unfolding, binding studies, etc. Electronic circular dichroism spectroscopy is a chiroptical method and finds applications in analyzing protein and peptide structures, protein folding/unfolding, binding studies,</w:t>
      </w:r>
      <w:r>
        <w:rPr>
          <w:spacing w:val="-4"/>
        </w:rPr>
        <w:t> </w:t>
      </w:r>
      <w:r>
        <w:rPr/>
        <w:t>etc.</w:t>
      </w:r>
    </w:p>
    <w:p>
      <w:pPr>
        <w:spacing w:after="0" w:line="360" w:lineRule="auto"/>
        <w:jc w:val="both"/>
        <w:sectPr>
          <w:type w:val="continuous"/>
          <w:pgSz w:w="11910" w:h="16840"/>
          <w:pgMar w:top="1300" w:bottom="940" w:left="1500" w:right="1480"/>
        </w:sectPr>
      </w:pPr>
    </w:p>
    <w:p>
      <w:pPr>
        <w:pStyle w:val="BodyText"/>
        <w:spacing w:line="360" w:lineRule="auto" w:before="119"/>
        <w:ind w:left="299" w:right="313"/>
        <w:jc w:val="both"/>
      </w:pPr>
      <w:r>
        <w:rPr/>
        <w:t>Infrared spectroscopy probes the vibrational frequencies in the molecules; the frequency of vibration depends on the strength of the bond and the atoms involved thereby allowing identification of functional groups present in the organic molecules. As the absorption depends on the concentration, infrared spectroscopy can also be utilized for determining the concentrations of the analytes. The vibrational  frequencies of the bonds are sensitive to the conformation of the molecule as well as the interactions of the atoms involved. Infrared spectroscopy can therefore provide information about the conformations of the molecules. In fact, infrared spectroscopy is often used to determine the secondary structures of the polypeptides. Advent of nuclear magnetic resonance (NMR) spectroscopy in 1940s revolutionized the analysis of small molecules. When used alongside infrared spectroscopy, NMR spectroscopy can quickly provide the complete structure of the molecules. Advancement in the hardware and development of the experimental methods has made NMR spectroscopy one of the most powerful weapons in a chemist’s and biochemist’s arsenal. NMR is routinely employed to study the structure and dynamics of biomacromolecules. </w:t>
      </w:r>
      <w:r>
        <w:rPr>
          <w:spacing w:val="-4"/>
        </w:rPr>
        <w:t>In </w:t>
      </w:r>
      <w:r>
        <w:rPr/>
        <w:t>fact, NMR is the only tool that provides atomic resolution structure of the molecules in solution. This is a big plus for NMR spectroscopy over X-ray crystallography that needs a crystal for determining the atomic resolution structure. Furthermore, solid state NMR spectroscopy can be used to study the solid samples including single crystals. Atomic resolution structure determination requires the biomolecules with very high purity. High purity biological macromolecules are obtained through one or more chromatographic methods. The principle underlying the separation of molecules is their partitioning between a stationary and a mobile phase. The partition coefficient of a molecule depends on its physicochemical properties and molecules can be separated based on their size, charge, hydrophobicity or affinity to a particular ligand. Chromatographic techniques can also provide analytical information, </w:t>
      </w:r>
      <w:r>
        <w:rPr>
          <w:i/>
        </w:rPr>
        <w:t>e.g. </w:t>
      </w:r>
      <w:r>
        <w:rPr/>
        <w:t>molecular weight can be determined using size exclusion chromatography wherein there is a relationship between the molecular weight and the elution volume. NMR spectroscopy, however, has come a long way since its discovery and it is now possible to determine the structures of biomolecules in their native milieu </w:t>
      </w:r>
      <w:r>
        <w:rPr>
          <w:i/>
        </w:rPr>
        <w:t>i.e. </w:t>
      </w:r>
      <w:r>
        <w:rPr/>
        <w:t>inside the living cells.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6"/>
        <w:jc w:val="both"/>
      </w:pPr>
      <w:r>
        <w:rPr/>
        <w:t>Discovery of polymerase chain reaction (PCR) (Figure 2.2) was a major step forward in the biomedical research and diagnostics. Presence of a pathogen inside the body is classically detected using serological methods or culture of the infectious agents. Owing to its excellent sensitivity, PCR can detect the presence of pathogens earlier than the serological tests. Other than infectious diseases, PCR is also used to detect genetic disorders. It is hard to imagine doing research in the areas of molecular genetics without employing PCR.</w:t>
      </w:r>
    </w:p>
    <w:p>
      <w:pPr>
        <w:pStyle w:val="BodyText"/>
        <w:spacing w:before="10"/>
        <w:rPr>
          <w:sz w:val="18"/>
        </w:rPr>
      </w:pPr>
      <w:r>
        <w:rPr/>
        <w:drawing>
          <wp:anchor distT="0" distB="0" distL="0" distR="0" allowOverlap="1" layoutInCell="1" locked="0" behindDoc="0" simplePos="0" relativeHeight="7">
            <wp:simplePos x="0" y="0"/>
            <wp:positionH relativeFrom="page">
              <wp:posOffset>1376516</wp:posOffset>
            </wp:positionH>
            <wp:positionV relativeFrom="paragraph">
              <wp:posOffset>162868</wp:posOffset>
            </wp:positionV>
            <wp:extent cx="4992418" cy="3493008"/>
            <wp:effectExtent l="0" t="0" r="0" b="0"/>
            <wp:wrapTopAndBottom/>
            <wp:docPr id="15" name="image8.png" descr="Figure 2.2.tif"/>
            <wp:cNvGraphicFramePr>
              <a:graphicFrameLocks noChangeAspect="1"/>
            </wp:cNvGraphicFramePr>
            <a:graphic>
              <a:graphicData uri="http://schemas.openxmlformats.org/drawingml/2006/picture">
                <pic:pic>
                  <pic:nvPicPr>
                    <pic:cNvPr id="16" name="image8.png"/>
                    <pic:cNvPicPr/>
                  </pic:nvPicPr>
                  <pic:blipFill>
                    <a:blip r:embed="rId14" cstate="print"/>
                    <a:stretch>
                      <a:fillRect/>
                    </a:stretch>
                  </pic:blipFill>
                  <pic:spPr>
                    <a:xfrm>
                      <a:off x="0" y="0"/>
                      <a:ext cx="4992418" cy="3493008"/>
                    </a:xfrm>
                    <a:prstGeom prst="rect">
                      <a:avLst/>
                    </a:prstGeom>
                  </pic:spPr>
                </pic:pic>
              </a:graphicData>
            </a:graphic>
          </wp:anchor>
        </w:drawing>
      </w:r>
    </w:p>
    <w:p>
      <w:pPr>
        <w:pStyle w:val="BodyText"/>
        <w:rPr>
          <w:sz w:val="30"/>
        </w:rPr>
      </w:pPr>
    </w:p>
    <w:p>
      <w:pPr>
        <w:spacing w:before="0"/>
        <w:ind w:left="794" w:right="617" w:firstLine="0"/>
        <w:jc w:val="center"/>
        <w:rPr>
          <w:b/>
          <w:sz w:val="16"/>
        </w:rPr>
      </w:pPr>
      <w:r>
        <w:rPr>
          <w:b/>
          <w:sz w:val="16"/>
        </w:rPr>
        <w:t>Figure 2.2 Principle of PCR amplification of DNA</w:t>
      </w:r>
    </w:p>
    <w:p>
      <w:pPr>
        <w:pStyle w:val="BodyText"/>
        <w:spacing w:before="1"/>
        <w:rPr>
          <w:b/>
          <w:sz w:val="25"/>
        </w:rPr>
      </w:pPr>
    </w:p>
    <w:p>
      <w:pPr>
        <w:pStyle w:val="BodyText"/>
        <w:spacing w:line="360" w:lineRule="auto"/>
        <w:ind w:left="299" w:right="315"/>
        <w:jc w:val="both"/>
      </w:pPr>
      <w:r>
        <w:rPr/>
        <w:t>Complexity of the biological systems hardly needs any mention. To understand the molecules at function in a living system, it is important to look at the system altogether rather than individual components and processes. Sequencing of complete genomes led researchers to estimate the number of genes a particular organism expresses and further to understand the co-expression of a large number of genes and their role in physiology and pathophysiology. Identification and estimation of the subset of proteins expressed at any instant can provide useful information about the system </w:t>
      </w:r>
      <w:r>
        <w:rPr>
          <w:i/>
        </w:rPr>
        <w:t>viz. </w:t>
      </w:r>
      <w:r>
        <w:rPr/>
        <w:t>expression of a gene or a set of genes beyond a threshold level may be a marker of a disease. Intrinsically low levels of a large number of proteins, however, posed a challenge for detecting and identifying them. Application of mass spectrometry to proteins and peptides provided major breakthrough towards</w:t>
      </w:r>
      <w:r>
        <w:rPr>
          <w:spacing w:val="4"/>
        </w:rPr>
        <w:t> </w:t>
      </w:r>
      <w:r>
        <w:rPr/>
        <w:t>achieving</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3"/>
        <w:jc w:val="both"/>
      </w:pPr>
      <w:r>
        <w:rPr/>
        <w:t>this. Mild ionization techniques such as electrospray ionization (ESI) and matrix assisted laser desorption ionization (MALDI) could successfully ionize large biomolecules without damaging them. This opened up a plethora of possibilities and resulted in the development of a new research discipline, called </w:t>
      </w:r>
      <w:r>
        <w:rPr>
          <w:i/>
        </w:rPr>
        <w:t>proteomics</w:t>
      </w:r>
      <w:r>
        <w:rPr/>
        <w:t>. Proteomics refers to the study of the complete set of proteins expressed by a cell or an organism. The ultimate goal of the proteomic studies is to identify all the proteins present in the specimen; quantify them; and identify the posttranslational modifications, if any. A proteomic approach typically starts with the isolation of the total protein from the sample. Total protein is then resolved into its components using 2-D gel electrophoresis that separates the proteins according to their isoelectric points in one dimension and their molecular weights in the other. The individual protein spots are then cut from the gel and eluted out. The proteins are then analyzed using mass spectrometry either directly or after digesting with a sequence specific protease such as trypsin. The proteins can then be identified either by </w:t>
      </w:r>
      <w:r>
        <w:rPr>
          <w:i/>
        </w:rPr>
        <w:t>de novo </w:t>
      </w:r>
      <w:r>
        <w:rPr/>
        <w:t>sequencing or by using databases having sequence information and thereby mass information of the peptide fragments (discussed in lecture 13). Proteomic analysis is useful in identifying the markers for various processes and diseases. For example, comparing the samples from a set of healthy individuals with that of individuals having some disease/disorder can identify if the protein levels go up or down in the unhealthy individuals as compared to the healthy ones. Systematic studies with a large number of individuals are likely to result in identification of biomarkers for the diseases. The need  to retrieve and analyze the huge amount of data generated from genome sequencing projects led to the development of another discipline, called Bioinformatics. Bioinformatics utilizes computer science and mathematics to organize and retrieve the biological data. The biological information such as sequences of nucleic acids and proteins, their structures, post-translational modifications of proteins, etc. are organized and stored in the databases. The databases can be accessed to retrieve the required information for analysis.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5"/>
        <w:jc w:val="both"/>
      </w:pPr>
      <w:r>
        <w:rPr/>
        <w:pict>
          <v:shape style="position:absolute;margin-left:244.800003pt;margin-top:31.783125pt;width:258.7pt;height:134.35pt;mso-position-horizontal-relative:page;mso-position-vertical-relative:paragraph;z-index:-18534912" type="#_x0000_t202" filled="true" fillcolor="#ffff00" stroked="false">
            <v:textbox inset="0,0,0,0">
              <w:txbxContent>
                <w:p>
                  <w:pPr>
                    <w:pStyle w:val="BodyText"/>
                    <w:spacing w:line="276" w:lineRule="auto" w:before="66"/>
                    <w:ind w:left="143" w:right="140"/>
                    <w:jc w:val="both"/>
                  </w:pPr>
                  <w:r>
                    <w:rPr>
                      <w:b/>
                    </w:rPr>
                    <w:t>Hemocytometer: </w:t>
                  </w:r>
                  <w:r>
                    <w:rPr/>
                    <w:t>Hemocytometer, also known as Neubauer chamber, is essentially a glass slide which has a counting chamber at the centre. A glass cover is placed on the hemocytometer and the sample is gently introduced into the chamber. The sample chamber has a grid which allows counting of cells in a defined region using a microscope.</w:t>
                  </w:r>
                </w:p>
              </w:txbxContent>
            </v:textbox>
            <v:fill type="solid"/>
            <w10:wrap type="none"/>
          </v:shape>
        </w:pict>
      </w:r>
      <w:r>
        <w:rPr/>
        <w:t>The role microscopy plays in understanding biological systems and processes hardly needs any introduction.</w:t>
      </w:r>
      <w:r>
        <w:rPr>
          <w:spacing w:val="47"/>
        </w:rPr>
        <w:t> </w:t>
      </w:r>
      <w:r>
        <w:rPr/>
        <w:t>The</w:t>
      </w:r>
    </w:p>
    <w:p>
      <w:pPr>
        <w:pStyle w:val="BodyText"/>
        <w:ind w:left="300"/>
        <w:jc w:val="both"/>
      </w:pPr>
      <w:r>
        <w:rPr/>
        <w:t>first  uses  of  microscopes</w:t>
      </w:r>
      <w:r>
        <w:rPr>
          <w:spacing w:val="4"/>
        </w:rPr>
        <w:t> </w:t>
      </w:r>
      <w:r>
        <w:rPr/>
        <w:t>for</w:t>
      </w:r>
    </w:p>
    <w:p>
      <w:pPr>
        <w:pStyle w:val="BodyText"/>
        <w:spacing w:line="360" w:lineRule="auto" w:before="137"/>
        <w:ind w:left="300" w:right="5713"/>
        <w:jc w:val="both"/>
      </w:pPr>
      <w:r>
        <w:rPr/>
        <w:t>observing the biological specimens date back </w:t>
      </w:r>
      <w:r>
        <w:rPr>
          <w:spacing w:val="-7"/>
        </w:rPr>
        <w:t>to  </w:t>
      </w:r>
      <w:r>
        <w:rPr/>
        <w:t>1660s. </w:t>
      </w:r>
      <w:r>
        <w:rPr>
          <w:spacing w:val="-3"/>
        </w:rPr>
        <w:t>It </w:t>
      </w:r>
      <w:r>
        <w:rPr/>
        <w:t>would have not</w:t>
      </w:r>
      <w:r>
        <w:rPr>
          <w:spacing w:val="18"/>
        </w:rPr>
        <w:t> </w:t>
      </w:r>
      <w:r>
        <w:rPr/>
        <w:t>been</w:t>
      </w:r>
    </w:p>
    <w:p>
      <w:pPr>
        <w:pStyle w:val="BodyText"/>
        <w:spacing w:line="360" w:lineRule="auto" w:before="2"/>
        <w:ind w:left="300" w:right="5713"/>
        <w:jc w:val="both"/>
      </w:pPr>
      <w:r>
        <w:rPr/>
        <w:t>possible to identify and understand   the </w:t>
      </w:r>
      <w:r>
        <w:rPr>
          <w:spacing w:val="47"/>
        </w:rPr>
        <w:t> </w:t>
      </w:r>
      <w:r>
        <w:rPr/>
        <w:t>organization</w:t>
      </w:r>
    </w:p>
    <w:p>
      <w:pPr>
        <w:pStyle w:val="BodyText"/>
        <w:spacing w:line="360" w:lineRule="auto"/>
        <w:ind w:left="299" w:right="313"/>
        <w:jc w:val="both"/>
      </w:pPr>
      <w:r>
        <w:rPr/>
        <w:t>of microorganisms without using microscopy. Light microscopy is used to identify the microorganisms based on their morphology and the specific stains they take up. A routine quantitative application of microscopy is to count the number of different cells per unit volume of blood or any other sample using a hemocytometer. Presence of cells that are not expected in the healthy individuals may be an indicator of anomaly/disease. For example, a simple microscopic analysis of blood sample will identify the sickle cell anemia; presence of pus cells in urine, quantified by microscopy, is an indicator of infection. Light microscopy uses light as the illumination radiation and is perhaps the most familiar form of microscopy. In the simplest microscopic methods, a specimen is illuminated by visible light and observed either against a bright background (bright-field microscopy) or a dark background (dark-field microscopy). Fluorescence microscopy, one of the most commonly used microscopic methods in biological research, has emerged as a very powerful tool for studying molecular processes owing largely to the advancement in optics and discovery of the green fluorescent protein and development of its analogs with different spectral properties (discussed in lectures 15 and 16). Confocal laser scanning microscopy (CLSM) is a type of fluorescence microscopy that allows imaging of the samples at different focal planes </w:t>
      </w:r>
      <w:r>
        <w:rPr>
          <w:i/>
        </w:rPr>
        <w:t>i.e. </w:t>
      </w:r>
      <w:r>
        <w:rPr/>
        <w:t>light emitting from below or above the desired focal plane is eliminated. This results in very high lateral resolution and allows determining the spatial localization of the molecules (discussed in lecture 16). Total internal reflection fluorescence (TIRF) microscopy is another type of fluorescence microscopy wherein the optics allows imaging of the molecules that are in close proximity to the microscopic slide (discussed in lecture 15). The resolution of light microscopes depends on the wavelength of the light used. The smaller the wavelength of the light used, the better the resolution obtained. Wavelength of the visible light imposes</w:t>
      </w:r>
      <w:r>
        <w:rPr>
          <w:spacing w:val="18"/>
        </w:rPr>
        <w:t> </w:t>
      </w:r>
      <w:r>
        <w:rPr/>
        <w:t>a</w:t>
      </w:r>
      <w:r>
        <w:rPr>
          <w:spacing w:val="18"/>
        </w:rPr>
        <w:t> </w:t>
      </w:r>
      <w:r>
        <w:rPr/>
        <w:t>resolution</w:t>
      </w:r>
      <w:r>
        <w:rPr>
          <w:spacing w:val="18"/>
        </w:rPr>
        <w:t> </w:t>
      </w:r>
      <w:r>
        <w:rPr/>
        <w:t>limit</w:t>
      </w:r>
      <w:r>
        <w:rPr>
          <w:spacing w:val="19"/>
        </w:rPr>
        <w:t> </w:t>
      </w:r>
      <w:r>
        <w:rPr/>
        <w:t>of</w:t>
      </w:r>
      <w:r>
        <w:rPr>
          <w:spacing w:val="17"/>
        </w:rPr>
        <w:t> </w:t>
      </w:r>
      <w:r>
        <w:rPr/>
        <w:t>~0.2</w:t>
      </w:r>
      <w:r>
        <w:rPr>
          <w:spacing w:val="19"/>
        </w:rPr>
        <w:t> </w:t>
      </w:r>
      <w:r>
        <w:rPr/>
        <w:t>μm</w:t>
      </w:r>
      <w:r>
        <w:rPr>
          <w:spacing w:val="18"/>
        </w:rPr>
        <w:t> </w:t>
      </w:r>
      <w:r>
        <w:rPr/>
        <w:t>on</w:t>
      </w:r>
      <w:r>
        <w:rPr>
          <w:spacing w:val="21"/>
        </w:rPr>
        <w:t> </w:t>
      </w:r>
      <w:r>
        <w:rPr/>
        <w:t>the</w:t>
      </w:r>
      <w:r>
        <w:rPr>
          <w:spacing w:val="17"/>
        </w:rPr>
        <w:t> </w:t>
      </w:r>
      <w:r>
        <w:rPr/>
        <w:t>light</w:t>
      </w:r>
      <w:r>
        <w:rPr>
          <w:spacing w:val="19"/>
        </w:rPr>
        <w:t> </w:t>
      </w:r>
      <w:r>
        <w:rPr/>
        <w:t>microscopes</w:t>
      </w:r>
      <w:r>
        <w:rPr>
          <w:spacing w:val="20"/>
        </w:rPr>
        <w:t> </w:t>
      </w:r>
      <w:r>
        <w:rPr/>
        <w:t>(discussed</w:t>
      </w:r>
      <w:r>
        <w:rPr>
          <w:spacing w:val="19"/>
        </w:rPr>
        <w:t> </w:t>
      </w:r>
      <w:r>
        <w:rPr/>
        <w:t>in</w:t>
      </w:r>
      <w:r>
        <w:rPr>
          <w:spacing w:val="19"/>
        </w:rPr>
        <w:t> </w:t>
      </w:r>
      <w:r>
        <w:rPr/>
        <w:t>lecture</w:t>
      </w:r>
    </w:p>
    <w:p>
      <w:pPr>
        <w:spacing w:after="0" w:line="360" w:lineRule="auto"/>
        <w:jc w:val="both"/>
        <w:sectPr>
          <w:pgSz w:w="11910" w:h="16840"/>
          <w:pgMar w:header="722" w:footer="748" w:top="1300" w:bottom="940" w:left="1500" w:right="1480"/>
        </w:sectPr>
      </w:pPr>
    </w:p>
    <w:p>
      <w:pPr>
        <w:pStyle w:val="ListParagraph"/>
        <w:numPr>
          <w:ilvl w:val="0"/>
          <w:numId w:val="1"/>
        </w:numPr>
        <w:tabs>
          <w:tab w:pos="795" w:val="left" w:leader="none"/>
        </w:tabs>
        <w:spacing w:line="360" w:lineRule="auto" w:before="119" w:after="0"/>
        <w:ind w:left="300" w:right="317" w:firstLine="0"/>
        <w:jc w:val="both"/>
        <w:rPr>
          <w:sz w:val="24"/>
        </w:rPr>
      </w:pPr>
      <w:r>
        <w:rPr>
          <w:sz w:val="24"/>
        </w:rPr>
        <w:t>What it means is that the two point objects closer than ~0.2 μm cannot be resolved used a light microscope</w:t>
      </w:r>
    </w:p>
    <w:p>
      <w:pPr>
        <w:pStyle w:val="BodyText"/>
        <w:spacing w:before="200"/>
        <w:ind w:left="300"/>
        <w:jc w:val="both"/>
      </w:pPr>
      <w:r>
        <w:rPr/>
        <w:pict>
          <v:group style="position:absolute;margin-left:338.880005pt;margin-top:20.48214pt;width:171.85pt;height:76.350pt;mso-position-horizontal-relative:page;mso-position-vertical-relative:paragraph;z-index:15733760" coordorigin="6778,410" coordsize="3437,1527">
            <v:shape style="position:absolute;left:6777;top:409;width:3437;height:1527" coordorigin="6778,410" coordsize="3437,1527" path="m7354,410l7246,410,7246,410,7138,410,7138,410,6886,410,6886,410,6778,410,6778,1487,6778,1936,7246,1936,7246,1883,7354,1883,7354,410xm10214,410l10106,410,10106,410,7354,410,7354,640,7354,870,7354,1055,10106,1055,10106,1055,7354,1055,7354,1331,7354,1607,10106,1607,10106,1607,7354,1607,7354,1883,10106,1883,10214,1883,10214,410xe" filled="true" fillcolor="#ffff00" stroked="false">
              <v:path arrowok="t"/>
              <v:fill type="solid"/>
            </v:shape>
            <v:shape style="position:absolute;left:6901;top:701;width:280;height:496" coordorigin="6901,702" coordsize="280,496" path="m7049,702l7033,702,7020,703,6963,730,6918,789,6901,860,6901,879,6923,955,6979,1029,6985,1038,6989,1047,6993,1061,6993,1146,6994,1152,6995,1158,6999,1168,7004,1177,7008,1181,7011,1185,7036,1197,7046,1197,7074,1181,7078,1177,7083,1168,7087,1158,7088,1152,7089,1146,7089,1061,7093,1047,7097,1038,7103,1029,7144,980,7159,955,7180,889,7181,879,7181,860,7164,789,7119,730,7076,707,7062,703xe" filled="true" fillcolor="#ffc000" stroked="false">
              <v:path arrowok="t"/>
              <v:fill type="solid"/>
            </v:shape>
            <v:shape style="position:absolute;left:6989;top:919;width:104;height:220" type="#_x0000_t75" stroked="false">
              <v:imagedata r:id="rId15" o:title=""/>
            </v:shape>
            <v:shape style="position:absolute;left:6901;top:701;width:280;height:496" coordorigin="6901,702" coordsize="280,496" path="m7041,1197l7046,1197,7050,1196,7074,1181,7078,1177,7089,1146,7089,1140,7089,1138,7089,1061,7090,1056,7135,991,7144,980,7152,967,7159,955,7166,940,7170,933,7173,925,7175,917,7177,908,7179,899,7180,889,7181,879,7181,869,7181,860,7167,797,7130,740,7076,707,7049,702,7041,702,7033,702,6975,722,6925,776,6904,835,6901,860,6901,869,6901,879,6902,889,6903,899,6905,908,6907,917,6909,925,6912,933,6916,940,6923,955,6930,967,6938,980,6947,991,6964,1011,6979,1029,6985,1038,6989,1047,6991,1052,6992,1056,6993,1061,6993,1146,6994,1152,7008,1181,7011,1185,7036,1197,7041,1197xe" filled="false" stroked="true" strokeweight="1pt" strokecolor="#000000">
              <v:path arrowok="t"/>
              <v:stroke dashstyle="solid"/>
            </v:shape>
            <v:shape style="position:absolute;left:6989;top:919;width:104;height:220" coordorigin="6990,919" coordsize="104,220" path="m7020,1031l7011,976,6995,933,6990,922,7011,934,7027,919,7046,933,7060,919,7074,931,7093,922,7068,981,7061,1031m6994,1066l7089,1066,7089,1091,6994,1091,6994,1115,7089,1116,7089,1139,6994,1139e" filled="false" stroked="true" strokeweight="1pt" strokecolor="#000000">
              <v:path arrowok="t"/>
              <v:stroke dashstyle="solid"/>
            </v:shape>
            <v:shape style="position:absolute;left:6777;top:409;width:3437;height:1527" type="#_x0000_t202" filled="false" stroked="false">
              <v:textbox inset="0,0,0,0">
                <w:txbxContent>
                  <w:p>
                    <w:pPr>
                      <w:spacing w:line="240" w:lineRule="auto" w:before="10"/>
                      <w:rPr>
                        <w:sz w:val="19"/>
                      </w:rPr>
                    </w:pPr>
                  </w:p>
                  <w:p>
                    <w:pPr>
                      <w:spacing w:before="0"/>
                      <w:ind w:left="576" w:right="0" w:firstLine="0"/>
                      <w:jc w:val="both"/>
                      <w:rPr>
                        <w:b/>
                        <w:sz w:val="20"/>
                      </w:rPr>
                    </w:pPr>
                    <w:r>
                      <w:rPr>
                        <w:b/>
                        <w:color w:val="C00000"/>
                        <w:sz w:val="20"/>
                      </w:rPr>
                      <w:t>THINK</w:t>
                    </w:r>
                    <w:r>
                      <w:rPr>
                        <w:b/>
                        <w:color w:val="C00000"/>
                        <w:spacing w:val="-3"/>
                        <w:sz w:val="20"/>
                      </w:rPr>
                      <w:t> </w:t>
                    </w:r>
                    <w:r>
                      <w:rPr>
                        <w:b/>
                        <w:color w:val="C00000"/>
                        <w:sz w:val="20"/>
                      </w:rPr>
                      <w:t>TANK??</w:t>
                    </w:r>
                  </w:p>
                  <w:p>
                    <w:pPr>
                      <w:spacing w:before="179"/>
                      <w:ind w:left="576" w:right="101" w:firstLine="0"/>
                      <w:jc w:val="both"/>
                      <w:rPr>
                        <w:sz w:val="24"/>
                      </w:rPr>
                    </w:pPr>
                    <w:r>
                      <w:rPr>
                        <w:color w:val="003300"/>
                        <w:sz w:val="24"/>
                      </w:rPr>
                      <w:t>What do </w:t>
                    </w:r>
                    <w:r>
                      <w:rPr>
                        <w:color w:val="003300"/>
                        <w:spacing w:val="-3"/>
                        <w:sz w:val="24"/>
                      </w:rPr>
                      <w:t>you </w:t>
                    </w:r>
                    <w:r>
                      <w:rPr>
                        <w:color w:val="003300"/>
                        <w:sz w:val="24"/>
                      </w:rPr>
                      <w:t>understand </w:t>
                    </w:r>
                    <w:r>
                      <w:rPr>
                        <w:color w:val="003300"/>
                        <w:spacing w:val="-5"/>
                        <w:sz w:val="24"/>
                      </w:rPr>
                      <w:t>by </w:t>
                    </w:r>
                    <w:r>
                      <w:rPr>
                        <w:color w:val="003300"/>
                        <w:sz w:val="24"/>
                      </w:rPr>
                      <w:t>the wavelength of an electron</w:t>
                    </w:r>
                    <w:r>
                      <w:rPr>
                        <w:color w:val="003300"/>
                        <w:spacing w:val="-1"/>
                        <w:sz w:val="24"/>
                      </w:rPr>
                      <w:t> </w:t>
                    </w:r>
                    <w:r>
                      <w:rPr>
                        <w:color w:val="003300"/>
                        <w:sz w:val="24"/>
                      </w:rPr>
                      <w:t>beam?</w:t>
                    </w:r>
                  </w:p>
                </w:txbxContent>
              </v:textbox>
              <w10:wrap type="none"/>
            </v:shape>
            <w10:wrap type="none"/>
          </v:group>
        </w:pict>
      </w:r>
      <w:r>
        <w:rPr/>
        <w:t>In  electron microscopy (discussed in lectures </w:t>
      </w:r>
      <w:r>
        <w:rPr>
          <w:spacing w:val="22"/>
        </w:rPr>
        <w:t> </w:t>
      </w:r>
      <w:r>
        <w:rPr/>
        <w:t>17</w:t>
      </w:r>
    </w:p>
    <w:p>
      <w:pPr>
        <w:pStyle w:val="BodyText"/>
        <w:spacing w:line="360" w:lineRule="auto" w:before="139"/>
        <w:ind w:left="300" w:right="3841"/>
        <w:jc w:val="both"/>
      </w:pPr>
      <w:r>
        <w:rPr/>
        <w:t>and 18), the electrons are accelerated by applying a very high accelerating voltage. The wavelength of the electron beam is inversely proportional to the  square  root  of  the  accelerating voltage,</w:t>
      </w:r>
      <w:r>
        <w:rPr>
          <w:spacing w:val="-22"/>
        </w:rPr>
        <w:t> </w:t>
      </w:r>
      <w:r>
        <w:rPr/>
        <w:t>and</w:t>
      </w:r>
    </w:p>
    <w:p>
      <w:pPr>
        <w:pStyle w:val="BodyText"/>
        <w:spacing w:line="360" w:lineRule="auto"/>
        <w:ind w:left="299" w:right="316"/>
        <w:jc w:val="both"/>
      </w:pPr>
      <w:r>
        <w:rPr/>
        <w:t>wavelengths smaller than 0.5 nm can be generated. This provides around three orders of magnitude improvement in resolution. Scanning electron microscopy (SEM) scans the specimen and provides surface information of the specimen. In transmission electron microscopy (TEM), electrons penetrate into the sample and the transmitted electrons generate the image. TEM, therefore, provides information about the internal structures of the specimen. Both SEM and TEM generally require staining of the specimen with a heavy atom. There have been several advancements in transmission electron microscopy, cryo-electron microscopy (Cryo-EM) is perhaps the most noted one. Cryo-EM allows the imaging of hydrated samples, does not require any staining and can provide resolutions between 5-10 Å making the method useful in studying the structures of biomacromolecules. Advent of scanning probe microscopy, especially the atomic force microscopy (discussed in lecture 19), could make it possible doing imaging in solution with resolutions comparable to electron</w:t>
      </w:r>
      <w:r>
        <w:rPr>
          <w:spacing w:val="-8"/>
        </w:rPr>
        <w:t> </w:t>
      </w:r>
      <w:r>
        <w:rPr/>
        <w:t>microscope.</w:t>
      </w:r>
    </w:p>
    <w:p>
      <w:pPr>
        <w:spacing w:after="0" w:line="360" w:lineRule="auto"/>
        <w:jc w:val="both"/>
        <w:sectPr>
          <w:pgSz w:w="11910" w:h="16840"/>
          <w:pgMar w:header="722" w:footer="748" w:top="1300" w:bottom="940" w:left="1500" w:right="1480"/>
        </w:sectPr>
      </w:pPr>
    </w:p>
    <w:p>
      <w:pPr>
        <w:pStyle w:val="Heading4"/>
        <w:spacing w:before="124"/>
        <w:ind w:left="596" w:right="617"/>
        <w:jc w:val="center"/>
      </w:pPr>
      <w:r>
        <w:rPr/>
        <w:t>QUIZ</w:t>
      </w:r>
    </w:p>
    <w:p>
      <w:pPr>
        <w:pStyle w:val="BodyText"/>
        <w:spacing w:before="1"/>
        <w:rPr>
          <w:b/>
          <w:sz w:val="21"/>
        </w:rPr>
      </w:pPr>
    </w:p>
    <w:p>
      <w:pPr>
        <w:spacing w:line="276" w:lineRule="auto" w:before="0"/>
        <w:ind w:left="300" w:right="410" w:firstLine="0"/>
        <w:jc w:val="left"/>
        <w:rPr>
          <w:b/>
          <w:sz w:val="24"/>
        </w:rPr>
      </w:pPr>
      <w:r>
        <w:rPr>
          <w:b/>
          <w:sz w:val="24"/>
        </w:rPr>
        <w:t>Q1: A 500 bp long DNA sample was digested using two restriction enzymes. The digested DNA products were analyzed using gel electrophoresis as shown below:</w:t>
      </w:r>
    </w:p>
    <w:p>
      <w:pPr>
        <w:pStyle w:val="BodyText"/>
        <w:spacing w:before="6"/>
        <w:rPr>
          <w:b/>
          <w:sz w:val="16"/>
        </w:rPr>
      </w:pPr>
      <w:r>
        <w:rPr/>
        <w:drawing>
          <wp:anchor distT="0" distB="0" distL="0" distR="0" allowOverlap="1" layoutInCell="1" locked="0" behindDoc="0" simplePos="0" relativeHeight="11">
            <wp:simplePos x="0" y="0"/>
            <wp:positionH relativeFrom="page">
              <wp:posOffset>1699234</wp:posOffset>
            </wp:positionH>
            <wp:positionV relativeFrom="paragraph">
              <wp:posOffset>146010</wp:posOffset>
            </wp:positionV>
            <wp:extent cx="4214870" cy="3562350"/>
            <wp:effectExtent l="0" t="0" r="0" b="0"/>
            <wp:wrapTopAndBottom/>
            <wp:docPr id="17" name="image10.png" descr="Quiz figure.tif"/>
            <wp:cNvGraphicFramePr>
              <a:graphicFrameLocks noChangeAspect="1"/>
            </wp:cNvGraphicFramePr>
            <a:graphic>
              <a:graphicData uri="http://schemas.openxmlformats.org/drawingml/2006/picture">
                <pic:pic>
                  <pic:nvPicPr>
                    <pic:cNvPr id="18" name="image10.png"/>
                    <pic:cNvPicPr/>
                  </pic:nvPicPr>
                  <pic:blipFill>
                    <a:blip r:embed="rId16" cstate="print"/>
                    <a:stretch>
                      <a:fillRect/>
                    </a:stretch>
                  </pic:blipFill>
                  <pic:spPr>
                    <a:xfrm>
                      <a:off x="0" y="0"/>
                      <a:ext cx="4214870" cy="3562350"/>
                    </a:xfrm>
                    <a:prstGeom prst="rect">
                      <a:avLst/>
                    </a:prstGeom>
                  </pic:spPr>
                </pic:pic>
              </a:graphicData>
            </a:graphic>
          </wp:anchor>
        </w:drawing>
      </w:r>
    </w:p>
    <w:p>
      <w:pPr>
        <w:spacing w:before="168"/>
        <w:ind w:left="300" w:right="0" w:firstLine="0"/>
        <w:jc w:val="left"/>
        <w:rPr>
          <w:b/>
          <w:sz w:val="24"/>
        </w:rPr>
      </w:pPr>
      <w:r>
        <w:rPr>
          <w:b/>
          <w:sz w:val="24"/>
        </w:rPr>
        <w:t>Map the restriction sites for the two enzymes in the DNA molecule</w:t>
      </w:r>
    </w:p>
    <w:p>
      <w:pPr>
        <w:pStyle w:val="BodyText"/>
        <w:spacing w:before="5"/>
        <w:rPr>
          <w:b/>
          <w:sz w:val="20"/>
        </w:rPr>
      </w:pPr>
    </w:p>
    <w:p>
      <w:pPr>
        <w:pStyle w:val="BodyText"/>
        <w:spacing w:before="1"/>
        <w:ind w:left="300" w:right="311"/>
      </w:pPr>
      <w:r>
        <w:rPr/>
        <w:drawing>
          <wp:anchor distT="0" distB="0" distL="0" distR="0" allowOverlap="1" layoutInCell="1" locked="0" behindDoc="0" simplePos="0" relativeHeight="12">
            <wp:simplePos x="0" y="0"/>
            <wp:positionH relativeFrom="page">
              <wp:posOffset>1209982</wp:posOffset>
            </wp:positionH>
            <wp:positionV relativeFrom="paragraph">
              <wp:posOffset>383201</wp:posOffset>
            </wp:positionV>
            <wp:extent cx="5119690" cy="315372"/>
            <wp:effectExtent l="0" t="0" r="0" b="0"/>
            <wp:wrapTopAndBottom/>
            <wp:docPr id="19" name="image11.png" descr="Q-1.tif"/>
            <wp:cNvGraphicFramePr>
              <a:graphicFrameLocks noChangeAspect="1"/>
            </wp:cNvGraphicFramePr>
            <a:graphic>
              <a:graphicData uri="http://schemas.openxmlformats.org/drawingml/2006/picture">
                <pic:pic>
                  <pic:nvPicPr>
                    <pic:cNvPr id="20" name="image11.png"/>
                    <pic:cNvPicPr/>
                  </pic:nvPicPr>
                  <pic:blipFill>
                    <a:blip r:embed="rId17" cstate="print"/>
                    <a:stretch>
                      <a:fillRect/>
                    </a:stretch>
                  </pic:blipFill>
                  <pic:spPr>
                    <a:xfrm>
                      <a:off x="0" y="0"/>
                      <a:ext cx="5119690" cy="315372"/>
                    </a:xfrm>
                    <a:prstGeom prst="rect">
                      <a:avLst/>
                    </a:prstGeom>
                  </pic:spPr>
                </pic:pic>
              </a:graphicData>
            </a:graphic>
          </wp:anchor>
        </w:drawing>
      </w:r>
      <w:r>
        <w:rPr>
          <w:b/>
        </w:rPr>
        <w:t>Ans: </w:t>
      </w:r>
      <w:r>
        <w:rPr/>
        <w:t>Digestion with restriction enzyme-1 gives two bands of sizes 200 bp and 300 bp. This results in following two possibilities:</w:t>
      </w:r>
    </w:p>
    <w:p>
      <w:pPr>
        <w:pStyle w:val="BodyText"/>
        <w:spacing w:before="7"/>
        <w:rPr>
          <w:sz w:val="25"/>
        </w:rPr>
      </w:pPr>
    </w:p>
    <w:p>
      <w:pPr>
        <w:pStyle w:val="BodyText"/>
        <w:ind w:left="300"/>
      </w:pPr>
      <w:r>
        <w:rPr/>
        <w:drawing>
          <wp:anchor distT="0" distB="0" distL="0" distR="0" allowOverlap="1" layoutInCell="1" locked="0" behindDoc="0" simplePos="0" relativeHeight="13">
            <wp:simplePos x="0" y="0"/>
            <wp:positionH relativeFrom="page">
              <wp:posOffset>1201675</wp:posOffset>
            </wp:positionH>
            <wp:positionV relativeFrom="paragraph">
              <wp:posOffset>207152</wp:posOffset>
            </wp:positionV>
            <wp:extent cx="5129793" cy="315372"/>
            <wp:effectExtent l="0" t="0" r="0" b="0"/>
            <wp:wrapTopAndBottom/>
            <wp:docPr id="21" name="image12.png" descr="Q-1B.tif"/>
            <wp:cNvGraphicFramePr>
              <a:graphicFrameLocks noChangeAspect="1"/>
            </wp:cNvGraphicFramePr>
            <a:graphic>
              <a:graphicData uri="http://schemas.openxmlformats.org/drawingml/2006/picture">
                <pic:pic>
                  <pic:nvPicPr>
                    <pic:cNvPr id="22" name="image12.png"/>
                    <pic:cNvPicPr/>
                  </pic:nvPicPr>
                  <pic:blipFill>
                    <a:blip r:embed="rId18" cstate="print"/>
                    <a:stretch>
                      <a:fillRect/>
                    </a:stretch>
                  </pic:blipFill>
                  <pic:spPr>
                    <a:xfrm>
                      <a:off x="0" y="0"/>
                      <a:ext cx="5129793" cy="315372"/>
                    </a:xfrm>
                    <a:prstGeom prst="rect">
                      <a:avLst/>
                    </a:prstGeom>
                  </pic:spPr>
                </pic:pic>
              </a:graphicData>
            </a:graphic>
          </wp:anchor>
        </w:drawing>
      </w:r>
      <w:r>
        <w:rPr/>
        <w:t>Digestion with restriction enzyme-2 gives two bands of sizes 350 bp and 150 bp:</w:t>
      </w:r>
    </w:p>
    <w:p>
      <w:pPr>
        <w:pStyle w:val="BodyText"/>
        <w:spacing w:before="7"/>
        <w:rPr>
          <w:sz w:val="25"/>
        </w:rPr>
      </w:pPr>
    </w:p>
    <w:p>
      <w:pPr>
        <w:pStyle w:val="BodyText"/>
        <w:spacing w:before="1"/>
        <w:ind w:left="300" w:right="464"/>
        <w:rPr>
          <w:i/>
        </w:rPr>
      </w:pPr>
      <w:r>
        <w:rPr/>
        <w:drawing>
          <wp:anchor distT="0" distB="0" distL="0" distR="0" allowOverlap="1" layoutInCell="1" locked="0" behindDoc="0" simplePos="0" relativeHeight="14">
            <wp:simplePos x="0" y="0"/>
            <wp:positionH relativeFrom="page">
              <wp:posOffset>2046521</wp:posOffset>
            </wp:positionH>
            <wp:positionV relativeFrom="paragraph">
              <wp:posOffset>370533</wp:posOffset>
            </wp:positionV>
            <wp:extent cx="3450808" cy="1138618"/>
            <wp:effectExtent l="0" t="0" r="0" b="0"/>
            <wp:wrapTopAndBottom/>
            <wp:docPr id="23" name="image13.png" descr="Quiz figure 2.tif"/>
            <wp:cNvGraphicFramePr>
              <a:graphicFrameLocks noChangeAspect="1"/>
            </wp:cNvGraphicFramePr>
            <a:graphic>
              <a:graphicData uri="http://schemas.openxmlformats.org/drawingml/2006/picture">
                <pic:pic>
                  <pic:nvPicPr>
                    <pic:cNvPr id="24" name="image13.png"/>
                    <pic:cNvPicPr/>
                  </pic:nvPicPr>
                  <pic:blipFill>
                    <a:blip r:embed="rId19" cstate="print"/>
                    <a:stretch>
                      <a:fillRect/>
                    </a:stretch>
                  </pic:blipFill>
                  <pic:spPr>
                    <a:xfrm>
                      <a:off x="0" y="0"/>
                      <a:ext cx="3450808" cy="1138618"/>
                    </a:xfrm>
                    <a:prstGeom prst="rect">
                      <a:avLst/>
                    </a:prstGeom>
                  </pic:spPr>
                </pic:pic>
              </a:graphicData>
            </a:graphic>
          </wp:anchor>
        </w:drawing>
      </w:r>
      <w:r>
        <w:rPr/>
        <w:t>Digestion with both restriction enzymes-1 and 2 gives two bands of sizes 200 bp and 150 bp. The possible restriction maps from the given data are: (A+D) and (B+C) </w:t>
      </w:r>
      <w:r>
        <w:rPr>
          <w:i/>
        </w:rPr>
        <w:t>i.e.</w:t>
      </w:r>
    </w:p>
    <w:p>
      <w:pPr>
        <w:pStyle w:val="BodyText"/>
        <w:spacing w:before="9"/>
        <w:rPr>
          <w:i/>
        </w:rPr>
      </w:pPr>
    </w:p>
    <w:p>
      <w:pPr>
        <w:pStyle w:val="BodyText"/>
        <w:spacing w:before="1"/>
        <w:ind w:left="300"/>
      </w:pPr>
      <w:r>
        <w:rPr/>
        <w:t>The combinations, (A+B), (A+C), (B+D), and (C+D) do not fit the given data.</w:t>
      </w:r>
    </w:p>
    <w:p>
      <w:pPr>
        <w:spacing w:after="0"/>
        <w:sectPr>
          <w:pgSz w:w="11910" w:h="16840"/>
          <w:pgMar w:header="722" w:footer="748" w:top="1300" w:bottom="940" w:left="1500" w:right="1480"/>
        </w:sectPr>
      </w:pPr>
    </w:p>
    <w:p>
      <w:pPr>
        <w:pStyle w:val="BodyText"/>
        <w:rPr>
          <w:sz w:val="20"/>
        </w:rPr>
      </w:pPr>
    </w:p>
    <w:p>
      <w:pPr>
        <w:pStyle w:val="BodyText"/>
        <w:spacing w:before="1"/>
        <w:rPr>
          <w:sz w:val="28"/>
        </w:rPr>
      </w:pPr>
    </w:p>
    <w:p>
      <w:pPr>
        <w:pStyle w:val="Heading4"/>
        <w:spacing w:line="276" w:lineRule="auto" w:before="90"/>
        <w:ind w:right="503"/>
        <w:jc w:val="left"/>
      </w:pPr>
      <w:r>
        <w:rPr/>
        <w:t>Q2: Trypsin is one of the most commonly used proteases for generating peptide fragments for mass spectrometric analysis.</w:t>
      </w:r>
    </w:p>
    <w:p>
      <w:pPr>
        <w:pStyle w:val="ListParagraph"/>
        <w:numPr>
          <w:ilvl w:val="1"/>
          <w:numId w:val="1"/>
        </w:numPr>
        <w:tabs>
          <w:tab w:pos="1380" w:val="left" w:leader="none"/>
        </w:tabs>
        <w:spacing w:line="240" w:lineRule="auto" w:before="198" w:after="0"/>
        <w:ind w:left="1380" w:right="0" w:hanging="360"/>
        <w:jc w:val="left"/>
        <w:rPr>
          <w:b/>
          <w:sz w:val="24"/>
        </w:rPr>
      </w:pPr>
      <w:r>
        <w:rPr>
          <w:b/>
          <w:sz w:val="24"/>
        </w:rPr>
        <w:t>What are the cleavage sites for trypsin in a polypeptide</w:t>
      </w:r>
      <w:r>
        <w:rPr>
          <w:b/>
          <w:spacing w:val="-10"/>
          <w:sz w:val="24"/>
        </w:rPr>
        <w:t> </w:t>
      </w:r>
      <w:r>
        <w:rPr>
          <w:b/>
          <w:sz w:val="24"/>
        </w:rPr>
        <w:t>chain?</w:t>
      </w:r>
    </w:p>
    <w:p>
      <w:pPr>
        <w:pStyle w:val="ListParagraph"/>
        <w:numPr>
          <w:ilvl w:val="1"/>
          <w:numId w:val="1"/>
        </w:numPr>
        <w:tabs>
          <w:tab w:pos="1380" w:val="left" w:leader="none"/>
        </w:tabs>
        <w:spacing w:line="276" w:lineRule="auto" w:before="43" w:after="0"/>
        <w:ind w:left="1380" w:right="941" w:hanging="360"/>
        <w:jc w:val="left"/>
        <w:rPr>
          <w:b/>
          <w:sz w:val="24"/>
        </w:rPr>
      </w:pPr>
      <w:r>
        <w:rPr>
          <w:b/>
          <w:sz w:val="24"/>
        </w:rPr>
        <w:t>Name a protease that cleaves at the carboxyl end of the aromatic amino</w:t>
      </w:r>
      <w:r>
        <w:rPr>
          <w:b/>
          <w:spacing w:val="-1"/>
          <w:sz w:val="24"/>
        </w:rPr>
        <w:t> </w:t>
      </w:r>
      <w:r>
        <w:rPr>
          <w:b/>
          <w:sz w:val="24"/>
        </w:rPr>
        <w:t>acids.</w:t>
      </w:r>
    </w:p>
    <w:p>
      <w:pPr>
        <w:pStyle w:val="BodyText"/>
        <w:spacing w:before="2"/>
        <w:rPr>
          <w:b/>
          <w:sz w:val="9"/>
        </w:rPr>
      </w:pPr>
    </w:p>
    <w:p>
      <w:pPr>
        <w:spacing w:before="90"/>
        <w:ind w:left="300" w:right="0" w:firstLine="0"/>
        <w:jc w:val="left"/>
        <w:rPr>
          <w:b/>
          <w:sz w:val="24"/>
        </w:rPr>
      </w:pPr>
      <w:r>
        <w:rPr>
          <w:b/>
          <w:sz w:val="24"/>
        </w:rPr>
        <w:t>Ans:</w:t>
      </w:r>
    </w:p>
    <w:p>
      <w:pPr>
        <w:pStyle w:val="BodyText"/>
        <w:spacing w:before="9"/>
        <w:rPr>
          <w:b/>
          <w:sz w:val="15"/>
        </w:rPr>
      </w:pPr>
    </w:p>
    <w:p>
      <w:pPr>
        <w:pStyle w:val="ListParagraph"/>
        <w:numPr>
          <w:ilvl w:val="0"/>
          <w:numId w:val="2"/>
        </w:numPr>
        <w:tabs>
          <w:tab w:pos="1380" w:val="left" w:leader="none"/>
        </w:tabs>
        <w:spacing w:line="240" w:lineRule="auto" w:before="90" w:after="0"/>
        <w:ind w:left="1380" w:right="0" w:hanging="360"/>
        <w:jc w:val="left"/>
        <w:rPr>
          <w:sz w:val="24"/>
        </w:rPr>
      </w:pPr>
      <w:r>
        <w:rPr>
          <w:sz w:val="24"/>
        </w:rPr>
        <w:t>Trypsin leaves at the carboxyl end of arginines and</w:t>
      </w:r>
      <w:r>
        <w:rPr>
          <w:spacing w:val="-5"/>
          <w:sz w:val="24"/>
        </w:rPr>
        <w:t> </w:t>
      </w:r>
      <w:r>
        <w:rPr>
          <w:sz w:val="24"/>
        </w:rPr>
        <w:t>lysines.</w:t>
      </w:r>
    </w:p>
    <w:p>
      <w:pPr>
        <w:pStyle w:val="ListParagraph"/>
        <w:numPr>
          <w:ilvl w:val="0"/>
          <w:numId w:val="2"/>
        </w:numPr>
        <w:tabs>
          <w:tab w:pos="1380" w:val="left" w:leader="none"/>
        </w:tabs>
        <w:spacing w:line="240" w:lineRule="auto" w:before="0" w:after="0"/>
        <w:ind w:left="1380" w:right="0" w:hanging="360"/>
        <w:jc w:val="left"/>
        <w:rPr>
          <w:sz w:val="24"/>
        </w:rPr>
      </w:pPr>
      <w:r>
        <w:rPr>
          <w:sz w:val="24"/>
        </w:rPr>
        <w:t>Chymotrypsin cleaves at the carboxyl end of the aromatic amino</w:t>
      </w:r>
      <w:r>
        <w:rPr>
          <w:spacing w:val="-9"/>
          <w:sz w:val="24"/>
        </w:rPr>
        <w:t> </w:t>
      </w:r>
      <w:r>
        <w:rPr>
          <w:sz w:val="24"/>
        </w:rPr>
        <w:t>acids.</w:t>
      </w:r>
    </w:p>
    <w:p>
      <w:pPr>
        <w:spacing w:after="0" w:line="240" w:lineRule="auto"/>
        <w:jc w:val="left"/>
        <w:rPr>
          <w:sz w:val="24"/>
        </w:rPr>
        <w:sectPr>
          <w:pgSz w:w="11910" w:h="16840"/>
          <w:pgMar w:header="722" w:footer="748" w:top="1300" w:bottom="940" w:left="1500" w:right="1480"/>
        </w:sectPr>
      </w:pPr>
    </w:p>
    <w:p>
      <w:pPr>
        <w:pStyle w:val="Heading2"/>
        <w:spacing w:line="489" w:lineRule="auto"/>
        <w:ind w:right="3819"/>
        <w:jc w:val="left"/>
      </w:pPr>
      <w:r>
        <w:rPr/>
        <w:t>Module 2 Spectroscopic techniques Lecture 3 Basics of Spectroscopy</w:t>
      </w:r>
    </w:p>
    <w:p>
      <w:pPr>
        <w:pStyle w:val="BodyText"/>
        <w:spacing w:line="360" w:lineRule="auto"/>
        <w:ind w:left="300" w:right="315"/>
        <w:jc w:val="both"/>
      </w:pPr>
      <w:r>
        <w:rPr/>
        <w:t>Spectroscopy deals with the study of interaction of electromagnetic radiation with matter. Electromagnetic radiation is a simple harmonic wave of electric and magnetic fields fluctuating orthogonal to each other (Figure 3.1A).</w:t>
      </w:r>
    </w:p>
    <w:p>
      <w:pPr>
        <w:pStyle w:val="BodyText"/>
        <w:spacing w:before="7"/>
        <w:rPr>
          <w:sz w:val="14"/>
        </w:rPr>
      </w:pPr>
      <w:r>
        <w:rPr/>
        <w:drawing>
          <wp:anchor distT="0" distB="0" distL="0" distR="0" allowOverlap="1" layoutInCell="1" locked="0" behindDoc="0" simplePos="0" relativeHeight="15">
            <wp:simplePos x="0" y="0"/>
            <wp:positionH relativeFrom="page">
              <wp:posOffset>1317129</wp:posOffset>
            </wp:positionH>
            <wp:positionV relativeFrom="paragraph">
              <wp:posOffset>131561</wp:posOffset>
            </wp:positionV>
            <wp:extent cx="5009833" cy="1015746"/>
            <wp:effectExtent l="0" t="0" r="0" b="0"/>
            <wp:wrapTopAndBottom/>
            <wp:docPr id="25" name="image14.jpeg" descr="Figure 1.tif"/>
            <wp:cNvGraphicFramePr>
              <a:graphicFrameLocks noChangeAspect="1"/>
            </wp:cNvGraphicFramePr>
            <a:graphic>
              <a:graphicData uri="http://schemas.openxmlformats.org/drawingml/2006/picture">
                <pic:pic>
                  <pic:nvPicPr>
                    <pic:cNvPr id="26" name="image14.jpeg"/>
                    <pic:cNvPicPr/>
                  </pic:nvPicPr>
                  <pic:blipFill>
                    <a:blip r:embed="rId22" cstate="print"/>
                    <a:stretch>
                      <a:fillRect/>
                    </a:stretch>
                  </pic:blipFill>
                  <pic:spPr>
                    <a:xfrm>
                      <a:off x="0" y="0"/>
                      <a:ext cx="5009833" cy="1015746"/>
                    </a:xfrm>
                    <a:prstGeom prst="rect">
                      <a:avLst/>
                    </a:prstGeom>
                  </pic:spPr>
                </pic:pic>
              </a:graphicData>
            </a:graphic>
          </wp:anchor>
        </w:drawing>
      </w:r>
    </w:p>
    <w:p>
      <w:pPr>
        <w:pStyle w:val="BodyText"/>
        <w:spacing w:before="4"/>
        <w:rPr>
          <w:sz w:val="32"/>
        </w:rPr>
      </w:pPr>
    </w:p>
    <w:p>
      <w:pPr>
        <w:spacing w:line="362" w:lineRule="auto" w:before="1"/>
        <w:ind w:left="496" w:right="0" w:firstLine="0"/>
        <w:jc w:val="left"/>
        <w:rPr>
          <w:b/>
          <w:sz w:val="16"/>
        </w:rPr>
      </w:pPr>
      <w:r>
        <w:rPr>
          <w:b/>
          <w:sz w:val="16"/>
        </w:rPr>
        <w:t>Figure 3.1: An electromagnetic wave showing orthogonal electric and magnetic components (A); a sine wave (B); and uniform circular motion representation of the sine function (C).</w:t>
      </w:r>
    </w:p>
    <w:p>
      <w:pPr>
        <w:pStyle w:val="BodyText"/>
        <w:spacing w:before="8"/>
        <w:rPr>
          <w:b/>
          <w:sz w:val="16"/>
        </w:rPr>
      </w:pPr>
    </w:p>
    <w:p>
      <w:pPr>
        <w:pStyle w:val="BodyText"/>
        <w:spacing w:before="1"/>
        <w:ind w:left="300"/>
        <w:jc w:val="both"/>
      </w:pPr>
      <w:r>
        <w:rPr/>
        <w:t>A simple harmonic function can be represented by a sine wave (Figure 3.1B):</w:t>
      </w:r>
    </w:p>
    <w:p>
      <w:pPr>
        <w:pStyle w:val="BodyText"/>
        <w:spacing w:before="9"/>
        <w:rPr>
          <w:sz w:val="29"/>
        </w:rPr>
      </w:pPr>
    </w:p>
    <w:p>
      <w:pPr>
        <w:pStyle w:val="BodyText"/>
        <w:tabs>
          <w:tab w:pos="7716" w:val="left" w:leader="middleDot"/>
        </w:tabs>
        <w:ind w:left="3900"/>
      </w:pPr>
      <w:r>
        <w:rPr>
          <w:rFonts w:ascii="Symbola" w:eastAsia="Symbola"/>
        </w:rPr>
        <w:t>𝑦 = 𝐴</w:t>
      </w:r>
      <w:r>
        <w:rPr>
          <w:rFonts w:ascii="Symbola" w:eastAsia="Symbola"/>
          <w:spacing w:val="5"/>
        </w:rPr>
        <w:t> </w:t>
      </w:r>
      <w:r>
        <w:rPr>
          <w:rFonts w:ascii="Symbola" w:eastAsia="Symbola"/>
        </w:rPr>
        <w:t>sin</w:t>
      </w:r>
      <w:r>
        <w:rPr>
          <w:rFonts w:ascii="Symbola" w:eastAsia="Symbola"/>
          <w:spacing w:val="-21"/>
        </w:rPr>
        <w:t> </w:t>
      </w:r>
      <w:r>
        <w:rPr>
          <w:rFonts w:ascii="Symbola" w:eastAsia="Symbola"/>
        </w:rPr>
        <w:t>𝜃</w:t>
        <w:tab/>
      </w:r>
      <w:r>
        <w:rPr/>
        <w:t>(3.1)</w:t>
      </w:r>
    </w:p>
    <w:p>
      <w:pPr>
        <w:pStyle w:val="BodyText"/>
        <w:spacing w:before="7"/>
        <w:rPr>
          <w:sz w:val="29"/>
        </w:rPr>
      </w:pPr>
    </w:p>
    <w:p>
      <w:pPr>
        <w:pStyle w:val="BodyText"/>
        <w:spacing w:line="360" w:lineRule="auto" w:before="1"/>
        <w:ind w:left="300" w:right="317"/>
        <w:jc w:val="both"/>
      </w:pPr>
      <w:r>
        <w:rPr/>
        <w:t>Sine wave is a periodic function and can be described in terms of the circular motion (Figure 3.1C). The value of </w:t>
      </w:r>
      <w:r>
        <w:rPr>
          <w:i/>
        </w:rPr>
        <w:t>y </w:t>
      </w:r>
      <w:r>
        <w:rPr/>
        <w:t>at any point is simply the projection of vector </w:t>
      </w:r>
      <w:r>
        <w:rPr>
          <w:i/>
        </w:rPr>
        <w:t>A </w:t>
      </w:r>
      <w:r>
        <w:rPr/>
        <w:t>on the y-axis, which is nothing but </w:t>
      </w:r>
      <w:r>
        <w:rPr>
          <w:i/>
        </w:rPr>
        <w:t>A sinθ</w:t>
      </w:r>
      <w:r>
        <w:rPr/>
        <w:t>. Equation (1) can therefore be written in terms of angular velocity, </w:t>
      </w:r>
      <w:r>
        <w:rPr>
          <w:i/>
        </w:rPr>
        <w:t>ω</w:t>
      </w:r>
      <w:r>
        <w:rPr/>
        <w:t>.</w:t>
      </w:r>
    </w:p>
    <w:p>
      <w:pPr>
        <w:pStyle w:val="BodyText"/>
        <w:tabs>
          <w:tab w:pos="7877" w:val="left" w:leader="middleDot"/>
        </w:tabs>
        <w:spacing w:before="204"/>
        <w:ind w:left="3900"/>
      </w:pPr>
      <w:r>
        <w:rPr>
          <w:rFonts w:ascii="Symbola" w:eastAsia="Symbola"/>
          <w:w w:val="105"/>
        </w:rPr>
        <w:t>𝑦 =</w:t>
      </w:r>
      <w:r>
        <w:rPr>
          <w:rFonts w:ascii="Symbola" w:eastAsia="Symbola"/>
          <w:spacing w:val="8"/>
          <w:w w:val="105"/>
        </w:rPr>
        <w:t> </w:t>
      </w:r>
      <w:r>
        <w:rPr>
          <w:rFonts w:ascii="Symbola" w:eastAsia="Symbola"/>
          <w:w w:val="105"/>
        </w:rPr>
        <w:t>𝐴</w:t>
      </w:r>
      <w:r>
        <w:rPr>
          <w:rFonts w:ascii="Symbola" w:eastAsia="Symbola"/>
          <w:spacing w:val="-22"/>
          <w:w w:val="105"/>
        </w:rPr>
        <w:t> </w:t>
      </w:r>
      <w:r>
        <w:rPr>
          <w:rFonts w:ascii="Symbola" w:eastAsia="Symbola"/>
          <w:w w:val="105"/>
        </w:rPr>
        <w:t>sin(𝜔𝑡)</w:t>
        <w:tab/>
      </w:r>
      <w:r>
        <w:rPr>
          <w:w w:val="105"/>
        </w:rPr>
        <w:t>(3.2)</w:t>
      </w:r>
    </w:p>
    <w:p>
      <w:pPr>
        <w:pStyle w:val="BodyText"/>
        <w:rPr>
          <w:sz w:val="30"/>
        </w:rPr>
      </w:pPr>
    </w:p>
    <w:p>
      <w:pPr>
        <w:pStyle w:val="BodyText"/>
        <w:tabs>
          <w:tab w:pos="7877" w:val="left" w:leader="middleDot"/>
        </w:tabs>
        <w:ind w:left="3900"/>
      </w:pPr>
      <w:r>
        <w:rPr>
          <w:rFonts w:ascii="Symbola" w:hAnsi="Symbola" w:eastAsia="Symbola"/>
          <w:w w:val="105"/>
        </w:rPr>
        <w:t>𝑦 =</w:t>
      </w:r>
      <w:r>
        <w:rPr>
          <w:rFonts w:ascii="Symbola" w:hAnsi="Symbola" w:eastAsia="Symbola"/>
          <w:spacing w:val="-7"/>
          <w:w w:val="105"/>
        </w:rPr>
        <w:t> </w:t>
      </w:r>
      <w:r>
        <w:rPr>
          <w:rFonts w:ascii="Symbola" w:hAnsi="Symbola" w:eastAsia="Symbola"/>
          <w:w w:val="105"/>
        </w:rPr>
        <w:t>𝐴</w:t>
      </w:r>
      <w:r>
        <w:rPr>
          <w:rFonts w:ascii="Symbola" w:hAnsi="Symbola" w:eastAsia="Symbola"/>
          <w:spacing w:val="-26"/>
          <w:w w:val="105"/>
        </w:rPr>
        <w:t> </w:t>
      </w:r>
      <w:r>
        <w:rPr>
          <w:rFonts w:ascii="Symbola" w:hAnsi="Symbola" w:eastAsia="Symbola"/>
          <w:w w:val="105"/>
        </w:rPr>
        <w:t>sin(2𝜋ν𝑡)</w:t>
        <w:tab/>
      </w:r>
      <w:r>
        <w:rPr>
          <w:w w:val="105"/>
        </w:rPr>
        <w:t>(3.3)</w:t>
      </w:r>
    </w:p>
    <w:p>
      <w:pPr>
        <w:pStyle w:val="BodyText"/>
        <w:spacing w:before="2"/>
        <w:rPr>
          <w:sz w:val="33"/>
        </w:rPr>
      </w:pPr>
    </w:p>
    <w:p>
      <w:pPr>
        <w:pStyle w:val="BodyText"/>
        <w:tabs>
          <w:tab w:pos="7877" w:val="left" w:leader="middleDot"/>
        </w:tabs>
        <w:spacing w:line="243" w:lineRule="exact" w:before="1"/>
        <w:ind w:left="3900"/>
      </w:pPr>
      <w:r>
        <w:rPr/>
        <w:pict>
          <v:rect style="position:absolute;margin-left:343.920013pt;margin-top:7.413125pt;width:4.68pt;height:.84pt;mso-position-horizontal-relative:page;mso-position-vertical-relative:paragraph;z-index:-18530816" filled="true" fillcolor="#000000" stroked="false">
            <v:fill type="solid"/>
            <w10:wrap type="none"/>
          </v:rect>
        </w:pict>
      </w:r>
      <w:r>
        <w:rPr>
          <w:rFonts w:ascii="Symbola" w:hAnsi="Symbola" w:eastAsia="Symbola"/>
          <w:w w:val="105"/>
        </w:rPr>
        <w:t>𝑦 = 𝐴</w:t>
      </w:r>
      <w:r>
        <w:rPr>
          <w:rFonts w:ascii="Symbola" w:hAnsi="Symbola" w:eastAsia="Symbola"/>
          <w:spacing w:val="-19"/>
          <w:w w:val="105"/>
        </w:rPr>
        <w:t> </w:t>
      </w:r>
      <w:r>
        <w:rPr>
          <w:rFonts w:ascii="Symbola" w:hAnsi="Symbola" w:eastAsia="Symbola"/>
          <w:w w:val="105"/>
        </w:rPr>
        <w:t>sin(2𝜋ν</w:t>
      </w:r>
      <w:r>
        <w:rPr>
          <w:rFonts w:ascii="Symbola" w:hAnsi="Symbola" w:eastAsia="Symbola"/>
          <w:spacing w:val="-25"/>
          <w:w w:val="105"/>
        </w:rPr>
        <w:t> </w:t>
      </w:r>
      <w:r>
        <w:rPr>
          <w:rFonts w:ascii="Symbola" w:hAnsi="Symbola" w:eastAsia="Symbola"/>
          <w:spacing w:val="2"/>
          <w:w w:val="105"/>
          <w:vertAlign w:val="superscript"/>
        </w:rPr>
        <w:t>𝑧</w:t>
      </w:r>
      <w:r>
        <w:rPr>
          <w:rFonts w:ascii="Symbola" w:hAnsi="Symbola" w:eastAsia="Symbola"/>
          <w:spacing w:val="2"/>
          <w:w w:val="105"/>
          <w:vertAlign w:val="baseline"/>
        </w:rPr>
        <w:t>)</w:t>
        <w:tab/>
      </w:r>
      <w:r>
        <w:rPr>
          <w:w w:val="105"/>
          <w:vertAlign w:val="baseline"/>
        </w:rPr>
        <w:t>(3.4)</w:t>
      </w:r>
    </w:p>
    <w:p>
      <w:pPr>
        <w:spacing w:line="137" w:lineRule="exact" w:before="0"/>
        <w:ind w:left="2533" w:right="617" w:firstLine="0"/>
        <w:jc w:val="center"/>
        <w:rPr>
          <w:rFonts w:ascii="Symbola" w:eastAsia="Symbola"/>
          <w:sz w:val="17"/>
        </w:rPr>
      </w:pPr>
      <w:r>
        <w:rPr>
          <w:rFonts w:ascii="Symbola" w:eastAsia="Symbola"/>
          <w:sz w:val="17"/>
        </w:rPr>
        <w:t>𝑐</w:t>
      </w:r>
    </w:p>
    <w:p>
      <w:pPr>
        <w:pStyle w:val="BodyText"/>
        <w:rPr>
          <w:rFonts w:ascii="Symbola"/>
          <w:sz w:val="21"/>
        </w:rPr>
      </w:pPr>
    </w:p>
    <w:p>
      <w:pPr>
        <w:pStyle w:val="BodyText"/>
        <w:spacing w:line="360" w:lineRule="auto" w:before="90"/>
        <w:ind w:left="1020" w:right="1396" w:firstLine="720"/>
      </w:pPr>
      <w:r>
        <w:rPr/>
        <w:t>where, </w:t>
      </w:r>
      <w:r>
        <w:rPr>
          <w:i/>
        </w:rPr>
        <w:t>z </w:t>
      </w:r>
      <w:r>
        <w:rPr/>
        <w:t>= displacement in time </w:t>
      </w:r>
      <w:r>
        <w:rPr>
          <w:i/>
        </w:rPr>
        <w:t>t </w:t>
      </w:r>
      <w:r>
        <w:rPr/>
        <w:t>and </w:t>
      </w:r>
      <w:r>
        <w:rPr>
          <w:i/>
        </w:rPr>
        <w:t>c </w:t>
      </w:r>
      <w:r>
        <w:rPr/>
        <w:t>is the velocity of the electromagnetic wave</w:t>
      </w:r>
    </w:p>
    <w:p>
      <w:pPr>
        <w:pStyle w:val="BodyText"/>
        <w:spacing w:line="460" w:lineRule="atLeast" w:before="21"/>
        <w:ind w:left="300" w:right="443"/>
      </w:pPr>
      <w:r>
        <w:rPr/>
        <w:pict>
          <v:rect style="position:absolute;margin-left:310.559998pt;margin-top:40.534306pt;width:4.68pt;height:.84pt;mso-position-horizontal-relative:page;mso-position-vertical-relative:paragraph;z-index:-18530304" filled="true" fillcolor="#000000" stroked="false">
            <v:fill type="solid"/>
            <w10:wrap type="none"/>
          </v:rect>
        </w:pict>
      </w:r>
      <w:r>
        <w:rPr/>
        <w:t>If the wave completes </w:t>
      </w:r>
      <w:r>
        <w:rPr>
          <w:rFonts w:ascii="Symbola" w:hAnsi="Symbola" w:eastAsia="Symbola"/>
        </w:rPr>
        <w:t>ν cycles/s </w:t>
      </w:r>
      <w:r>
        <w:rPr/>
        <w:t>and the wave is travelling with a velocity </w:t>
      </w:r>
      <w:r>
        <w:rPr>
          <w:i/>
        </w:rPr>
        <w:t>c </w:t>
      </w:r>
      <w:r>
        <w:rPr/>
        <w:t>metres/ sec, then the wavelength of the wave must be </w:t>
      </w:r>
      <w:r>
        <w:rPr>
          <w:rFonts w:ascii="Symbola" w:hAnsi="Symbola" w:eastAsia="Symbola"/>
          <w:vertAlign w:val="superscript"/>
        </w:rPr>
        <w:t>𝑐</w:t>
      </w:r>
      <w:r>
        <w:rPr>
          <w:rFonts w:ascii="Symbola" w:hAnsi="Symbola" w:eastAsia="Symbola"/>
          <w:vertAlign w:val="baseline"/>
        </w:rPr>
        <w:t> </w:t>
      </w:r>
      <w:r>
        <w:rPr>
          <w:vertAlign w:val="baseline"/>
        </w:rPr>
        <w:t>metres.</w:t>
      </w:r>
    </w:p>
    <w:p>
      <w:pPr>
        <w:spacing w:line="103" w:lineRule="exact" w:before="0"/>
        <w:ind w:left="588" w:right="0" w:firstLine="0"/>
        <w:jc w:val="center"/>
        <w:rPr>
          <w:rFonts w:ascii="Symbola" w:hAnsi="Symbola"/>
          <w:sz w:val="17"/>
        </w:rPr>
      </w:pPr>
      <w:r>
        <w:rPr>
          <w:rFonts w:ascii="Symbola" w:hAnsi="Symbola"/>
          <w:w w:val="108"/>
          <w:sz w:val="17"/>
        </w:rPr>
        <w:t>ν</w:t>
      </w:r>
    </w:p>
    <w:p>
      <w:pPr>
        <w:pStyle w:val="BodyText"/>
        <w:rPr>
          <w:rFonts w:ascii="Symbola"/>
          <w:sz w:val="20"/>
        </w:rPr>
      </w:pPr>
    </w:p>
    <w:p>
      <w:pPr>
        <w:pStyle w:val="BodyText"/>
        <w:tabs>
          <w:tab w:pos="7886" w:val="left" w:leader="middleDot"/>
        </w:tabs>
        <w:spacing w:line="243" w:lineRule="exact" w:before="165"/>
        <w:ind w:left="3900"/>
      </w:pPr>
      <w:r>
        <w:rPr/>
        <w:pict>
          <v:rect style="position:absolute;margin-left:322.440002pt;margin-top:15.612127pt;width:15.24pt;height:.841pt;mso-position-horizontal-relative:page;mso-position-vertical-relative:paragraph;z-index:-18529792" filled="true" fillcolor="#000000" stroked="false">
            <v:fill type="solid"/>
            <w10:wrap type="none"/>
          </v:rect>
        </w:pict>
      </w:r>
      <w:r>
        <w:rPr>
          <w:rFonts w:ascii="Symbola" w:eastAsia="Symbola"/>
          <w:w w:val="105"/>
        </w:rPr>
        <w:t>𝑦 =</w:t>
      </w:r>
      <w:r>
        <w:rPr>
          <w:rFonts w:ascii="Symbola" w:eastAsia="Symbola"/>
          <w:spacing w:val="6"/>
          <w:w w:val="105"/>
        </w:rPr>
        <w:t> </w:t>
      </w:r>
      <w:r>
        <w:rPr>
          <w:rFonts w:ascii="Symbola" w:eastAsia="Symbola"/>
          <w:w w:val="105"/>
        </w:rPr>
        <w:t>𝐴</w:t>
      </w:r>
      <w:r>
        <w:rPr>
          <w:rFonts w:ascii="Symbola" w:eastAsia="Symbola"/>
          <w:spacing w:val="-22"/>
          <w:w w:val="105"/>
        </w:rPr>
        <w:t> </w:t>
      </w:r>
      <w:r>
        <w:rPr>
          <w:rFonts w:ascii="Symbola" w:eastAsia="Symbola"/>
          <w:w w:val="105"/>
        </w:rPr>
        <w:t>sin(</w:t>
      </w:r>
      <w:r>
        <w:rPr>
          <w:rFonts w:ascii="Symbola" w:eastAsia="Symbola"/>
          <w:w w:val="105"/>
          <w:vertAlign w:val="superscript"/>
        </w:rPr>
        <w:t>2𝜋𝑧</w:t>
      </w:r>
      <w:r>
        <w:rPr>
          <w:rFonts w:ascii="Symbola" w:eastAsia="Symbola"/>
          <w:w w:val="105"/>
          <w:vertAlign w:val="baseline"/>
        </w:rPr>
        <w:t>)</w:t>
        <w:tab/>
      </w:r>
      <w:r>
        <w:rPr>
          <w:w w:val="105"/>
          <w:vertAlign w:val="baseline"/>
        </w:rPr>
        <w:t>(3.5)</w:t>
      </w:r>
    </w:p>
    <w:p>
      <w:pPr>
        <w:spacing w:line="137" w:lineRule="exact" w:before="0"/>
        <w:ind w:left="1356" w:right="85" w:firstLine="0"/>
        <w:jc w:val="center"/>
        <w:rPr>
          <w:rFonts w:ascii="Symbola" w:eastAsia="Symbola"/>
          <w:sz w:val="17"/>
        </w:rPr>
      </w:pPr>
      <w:r>
        <w:rPr>
          <w:rFonts w:ascii="Symbola" w:eastAsia="Symbola"/>
          <w:w w:val="105"/>
          <w:sz w:val="17"/>
        </w:rPr>
        <w:t>𝜆</w:t>
      </w:r>
    </w:p>
    <w:p>
      <w:pPr>
        <w:spacing w:after="0" w:line="137" w:lineRule="exact"/>
        <w:jc w:val="center"/>
        <w:rPr>
          <w:rFonts w:ascii="Symbola" w:eastAsia="Symbola"/>
          <w:sz w:val="17"/>
        </w:rPr>
        <w:sectPr>
          <w:headerReference w:type="default" r:id="rId20"/>
          <w:footerReference w:type="default" r:id="rId21"/>
          <w:pgSz w:w="11910" w:h="16840"/>
          <w:pgMar w:header="722" w:footer="748" w:top="1300" w:bottom="940" w:left="1500" w:right="1480"/>
          <w:pgNumType w:start="1"/>
        </w:sectPr>
      </w:pPr>
    </w:p>
    <w:p>
      <w:pPr>
        <w:pStyle w:val="Heading4"/>
        <w:spacing w:before="124"/>
        <w:jc w:val="left"/>
      </w:pPr>
      <w:r>
        <w:rPr/>
        <w:t>Energy of electromagnetic radiation:</w:t>
      </w:r>
    </w:p>
    <w:p>
      <w:pPr>
        <w:pStyle w:val="BodyText"/>
        <w:spacing w:before="2"/>
        <w:rPr>
          <w:b/>
          <w:sz w:val="21"/>
        </w:rPr>
      </w:pPr>
    </w:p>
    <w:p>
      <w:pPr>
        <w:spacing w:after="0"/>
        <w:rPr>
          <w:sz w:val="21"/>
        </w:rPr>
        <w:sectPr>
          <w:pgSz w:w="11910" w:h="16840"/>
          <w:pgMar w:header="722" w:footer="748" w:top="1300" w:bottom="940" w:left="1500" w:right="1480"/>
        </w:sectPr>
      </w:pPr>
    </w:p>
    <w:p>
      <w:pPr>
        <w:pStyle w:val="BodyText"/>
        <w:spacing w:before="90"/>
        <w:ind w:left="300"/>
      </w:pPr>
      <w:r>
        <w:rPr/>
        <w:t>Energy of an electromagnetic radiation is given by</w:t>
      </w:r>
    </w:p>
    <w:p>
      <w:pPr>
        <w:pStyle w:val="BodyText"/>
        <w:spacing w:before="1"/>
        <w:rPr>
          <w:sz w:val="36"/>
        </w:rPr>
      </w:pPr>
    </w:p>
    <w:p>
      <w:pPr>
        <w:pStyle w:val="BodyText"/>
        <w:spacing w:line="207" w:lineRule="exact"/>
        <w:ind w:right="6"/>
        <w:jc w:val="right"/>
        <w:rPr>
          <w:rFonts w:ascii="Symbola" w:hAnsi="Symbola" w:eastAsia="Symbola"/>
        </w:rPr>
      </w:pPr>
      <w:r>
        <w:rPr/>
        <w:pict>
          <v:rect style="position:absolute;margin-left:330.480011pt;margin-top:5.569176pt;width:5.04pt;height:.841pt;mso-position-horizontal-relative:page;mso-position-vertical-relative:paragraph;z-index:-18528768" filled="true" fillcolor="#000000" stroked="false">
            <v:fill type="solid"/>
            <w10:wrap type="none"/>
          </v:rect>
        </w:pict>
      </w:r>
      <w:r>
        <w:rPr>
          <w:rFonts w:ascii="Symbola" w:hAnsi="Symbola" w:eastAsia="Symbola"/>
        </w:rPr>
        <w:t>𝐸 = ℎν = ℎ</w:t>
      </w:r>
      <w:r>
        <w:rPr>
          <w:rFonts w:ascii="Symbola" w:hAnsi="Symbola" w:eastAsia="Symbola"/>
          <w:spacing w:val="-9"/>
        </w:rPr>
        <w:t> </w:t>
      </w:r>
      <w:r>
        <w:rPr>
          <w:rFonts w:ascii="Symbola" w:hAnsi="Symbola" w:eastAsia="Symbola"/>
          <w:vertAlign w:val="superscript"/>
        </w:rPr>
        <w:t>𝑐</w:t>
      </w:r>
    </w:p>
    <w:p>
      <w:pPr>
        <w:spacing w:line="137" w:lineRule="exact" w:before="0"/>
        <w:ind w:left="0" w:right="0" w:firstLine="0"/>
        <w:jc w:val="right"/>
        <w:rPr>
          <w:rFonts w:ascii="Symbola" w:eastAsia="Symbola"/>
          <w:sz w:val="17"/>
        </w:rPr>
      </w:pPr>
      <w:r>
        <w:rPr>
          <w:rFonts w:ascii="Symbola" w:eastAsia="Symbola"/>
          <w:spacing w:val="-1"/>
          <w:sz w:val="17"/>
        </w:rPr>
        <w:t>𝜆</w:t>
      </w:r>
    </w:p>
    <w:p>
      <w:pPr>
        <w:pStyle w:val="BodyText"/>
        <w:rPr>
          <w:rFonts w:ascii="Symbola"/>
          <w:sz w:val="26"/>
        </w:rPr>
      </w:pPr>
      <w:r>
        <w:rPr/>
        <w:br w:type="column"/>
      </w:r>
      <w:r>
        <w:rPr>
          <w:rFonts w:ascii="Symbola"/>
          <w:sz w:val="26"/>
        </w:rPr>
      </w:r>
    </w:p>
    <w:p>
      <w:pPr>
        <w:pStyle w:val="BodyText"/>
        <w:rPr>
          <w:rFonts w:ascii="Symbola"/>
          <w:sz w:val="26"/>
        </w:rPr>
      </w:pPr>
    </w:p>
    <w:p>
      <w:pPr>
        <w:pStyle w:val="BodyText"/>
        <w:spacing w:before="225"/>
        <w:ind w:left="101"/>
      </w:pPr>
      <w:r>
        <w:rPr/>
        <w:t>·································· (3.6)</w:t>
      </w:r>
    </w:p>
    <w:p>
      <w:pPr>
        <w:spacing w:after="0"/>
        <w:sectPr>
          <w:type w:val="continuous"/>
          <w:pgSz w:w="11910" w:h="16840"/>
          <w:pgMar w:top="1300" w:bottom="940" w:left="1500" w:right="1480"/>
          <w:cols w:num="2" w:equalWidth="0">
            <w:col w:w="5209" w:space="40"/>
            <w:col w:w="3681"/>
          </w:cols>
        </w:sectPr>
      </w:pPr>
    </w:p>
    <w:p>
      <w:pPr>
        <w:pStyle w:val="BodyText"/>
        <w:spacing w:before="10"/>
        <w:rPr>
          <w:sz w:val="14"/>
        </w:rPr>
      </w:pPr>
    </w:p>
    <w:p>
      <w:pPr>
        <w:pStyle w:val="BodyText"/>
        <w:spacing w:line="360" w:lineRule="auto" w:before="130"/>
        <w:ind w:left="299" w:right="314"/>
        <w:jc w:val="both"/>
      </w:pPr>
      <w:r>
        <w:rPr/>
        <w:t>where </w:t>
      </w:r>
      <w:r>
        <w:rPr>
          <w:i/>
        </w:rPr>
        <w:t>h </w:t>
      </w:r>
      <w:r>
        <w:rPr/>
        <w:t>is Planck’s constant and has a value of 6.626 × 10</w:t>
      </w:r>
      <w:r>
        <w:rPr>
          <w:vertAlign w:val="superscript"/>
        </w:rPr>
        <w:t>-34</w:t>
      </w:r>
      <w:r>
        <w:rPr>
          <w:vertAlign w:val="baseline"/>
        </w:rPr>
        <w:t> m</w:t>
      </w:r>
      <w:r>
        <w:rPr>
          <w:vertAlign w:val="superscript"/>
        </w:rPr>
        <w:t>2</w:t>
      </w:r>
      <w:r>
        <w:rPr>
          <w:vertAlign w:val="baseline"/>
        </w:rPr>
        <w:t>·kg·s</w:t>
      </w:r>
      <w:r>
        <w:rPr>
          <w:vertAlign w:val="superscript"/>
        </w:rPr>
        <w:t>-1</w:t>
      </w:r>
      <w:r>
        <w:rPr>
          <w:vertAlign w:val="baseline"/>
        </w:rPr>
        <w:t>. Based on the energy, electromagnetic radiation has been divided into different regions. The region of electromagnetic spectrum human beings can see, for example, is called visible region or visible spectrum. The visible region constitutes a very small portion of the electromagnetic spectrum and corresponds to the wavelengths of ~400 – 780 nm (Figure 3.2). The energy of the visible spectrum therefore ranges from ~2.5 × 10</w:t>
      </w:r>
      <w:r>
        <w:rPr>
          <w:vertAlign w:val="superscript"/>
        </w:rPr>
        <w:t>-19</w:t>
      </w:r>
      <w:r>
        <w:rPr>
          <w:vertAlign w:val="baseline"/>
        </w:rPr>
        <w:t> to</w:t>
      </w:r>
    </w:p>
    <w:p>
      <w:pPr>
        <w:pStyle w:val="BodyText"/>
        <w:spacing w:line="362" w:lineRule="auto"/>
        <w:ind w:left="300" w:right="317"/>
        <w:jc w:val="both"/>
      </w:pPr>
      <w:r>
        <w:rPr/>
        <w:t>~5 × 10</w:t>
      </w:r>
      <w:r>
        <w:rPr>
          <w:vertAlign w:val="superscript"/>
        </w:rPr>
        <w:t>-19</w:t>
      </w:r>
      <w:r>
        <w:rPr>
          <w:vertAlign w:val="baseline"/>
        </w:rPr>
        <w:t> Joules. </w:t>
      </w:r>
      <w:r>
        <w:rPr>
          <w:spacing w:val="-3"/>
          <w:vertAlign w:val="baseline"/>
        </w:rPr>
        <w:t>It </w:t>
      </w:r>
      <w:r>
        <w:rPr>
          <w:vertAlign w:val="baseline"/>
        </w:rPr>
        <w:t>is not convenient to write such small values of energy; the energies are therefore written in terms of electronvolts (eV). One electronvolt equals 1.602 × 10</w:t>
      </w:r>
      <w:r>
        <w:rPr>
          <w:vertAlign w:val="superscript"/>
        </w:rPr>
        <w:t>-19</w:t>
      </w:r>
      <w:r>
        <w:rPr>
          <w:vertAlign w:val="baseline"/>
        </w:rPr>
        <w:t> Joules. Therefore, the energy range of the visible spectrum is ~1.6 – 3.1 eV. Spectroscopists, however, prefer to use wavelength (λ) or frequency (</w:t>
      </w:r>
      <w:r>
        <w:rPr>
          <w:rFonts w:ascii="Symbola" w:hAnsi="Symbola" w:cs="Symbola" w:eastAsia="Symbola"/>
          <w:vertAlign w:val="baseline"/>
        </w:rPr>
        <w:t>ν</w:t>
      </w:r>
      <w:r>
        <w:rPr>
          <w:vertAlign w:val="baseline"/>
        </w:rPr>
        <w:t>) or </w:t>
      </w:r>
      <w:r>
        <w:rPr>
          <w:spacing w:val="-1"/>
          <w:w w:val="99"/>
          <w:vertAlign w:val="baseline"/>
        </w:rPr>
        <w:t>w</w:t>
      </w:r>
      <w:r>
        <w:rPr>
          <w:spacing w:val="-1"/>
          <w:vertAlign w:val="baseline"/>
        </w:rPr>
        <w:t>a</w:t>
      </w:r>
      <w:r>
        <w:rPr>
          <w:vertAlign w:val="baseline"/>
        </w:rPr>
        <w:t>v</w:t>
      </w:r>
      <w:r>
        <w:rPr>
          <w:spacing w:val="-1"/>
          <w:vertAlign w:val="baseline"/>
        </w:rPr>
        <w:t>e</w:t>
      </w:r>
      <w:r>
        <w:rPr>
          <w:vertAlign w:val="baseline"/>
        </w:rPr>
        <w:t>numb</w:t>
      </w:r>
      <w:r>
        <w:rPr>
          <w:spacing w:val="-1"/>
          <w:vertAlign w:val="baseline"/>
        </w:rPr>
        <w:t>e</w:t>
      </w:r>
      <w:r>
        <w:rPr>
          <w:vertAlign w:val="baseline"/>
        </w:rPr>
        <w:t>r</w:t>
      </w:r>
      <w:r>
        <w:rPr>
          <w:spacing w:val="1"/>
          <w:vertAlign w:val="baseline"/>
        </w:rPr>
        <w:t> (</w:t>
      </w:r>
      <w:r>
        <w:rPr>
          <w:rFonts w:ascii="Symbola" w:hAnsi="Symbola" w:cs="Symbola" w:eastAsia="Symbola"/>
          <w:spacing w:val="-109"/>
          <w:w w:val="95"/>
          <w:vertAlign w:val="baseline"/>
        </w:rPr>
        <w:t>ν</w:t>
      </w:r>
      <w:r>
        <w:rPr>
          <w:rFonts w:ascii="Symbola" w:hAnsi="Symbola" w:cs="Symbola" w:eastAsia="Symbola"/>
          <w:spacing w:val="4"/>
          <w:w w:val="43"/>
          <w:vertAlign w:val="baseline"/>
        </w:rPr>
        <w:t>�</w:t>
      </w:r>
      <w:r>
        <w:rPr>
          <w:w w:val="99"/>
          <w:vertAlign w:val="baseline"/>
        </w:rPr>
        <w:t>) in</w:t>
      </w:r>
      <w:r>
        <w:rPr>
          <w:w w:val="99"/>
          <w:vertAlign w:val="baseline"/>
        </w:rPr>
        <w:t>s</w:t>
      </w:r>
      <w:r>
        <w:rPr>
          <w:vertAlign w:val="baseline"/>
        </w:rPr>
        <w:t>t</w:t>
      </w:r>
      <w:r>
        <w:rPr>
          <w:spacing w:val="-1"/>
          <w:vertAlign w:val="baseline"/>
        </w:rPr>
        <w:t>ea</w:t>
      </w:r>
      <w:r>
        <w:rPr>
          <w:vertAlign w:val="baseline"/>
        </w:rPr>
        <w:t>d of</w:t>
      </w:r>
      <w:r>
        <w:rPr>
          <w:spacing w:val="-1"/>
          <w:vertAlign w:val="baseline"/>
        </w:rPr>
        <w:t> e</w:t>
      </w:r>
      <w:r>
        <w:rPr>
          <w:vertAlign w:val="baseline"/>
        </w:rPr>
        <w:t>n</w:t>
      </w:r>
      <w:r>
        <w:rPr>
          <w:spacing w:val="-1"/>
          <w:vertAlign w:val="baseline"/>
        </w:rPr>
        <w:t>e</w:t>
      </w:r>
      <w:r>
        <w:rPr>
          <w:spacing w:val="1"/>
          <w:vertAlign w:val="baseline"/>
        </w:rPr>
        <w:t>r</w:t>
      </w:r>
      <w:r>
        <w:rPr>
          <w:spacing w:val="2"/>
          <w:vertAlign w:val="baseline"/>
        </w:rPr>
        <w:t>g</w:t>
      </w:r>
      <w:r>
        <w:rPr>
          <w:spacing w:val="-5"/>
          <w:vertAlign w:val="baseline"/>
        </w:rPr>
        <w:t>y</w:t>
      </w:r>
      <w:r>
        <w:rPr>
          <w:vertAlign w:val="baseline"/>
        </w:rPr>
        <w:t>.</w:t>
      </w:r>
    </w:p>
    <w:p>
      <w:pPr>
        <w:pStyle w:val="BodyText"/>
        <w:spacing w:before="9"/>
        <w:rPr>
          <w:sz w:val="17"/>
        </w:rPr>
      </w:pPr>
      <w:r>
        <w:rPr/>
        <w:drawing>
          <wp:anchor distT="0" distB="0" distL="0" distR="0" allowOverlap="1" layoutInCell="1" locked="0" behindDoc="0" simplePos="0" relativeHeight="19">
            <wp:simplePos x="0" y="0"/>
            <wp:positionH relativeFrom="page">
              <wp:posOffset>1408739</wp:posOffset>
            </wp:positionH>
            <wp:positionV relativeFrom="paragraph">
              <wp:posOffset>154850</wp:posOffset>
            </wp:positionV>
            <wp:extent cx="4921738" cy="2113406"/>
            <wp:effectExtent l="0" t="0" r="0" b="0"/>
            <wp:wrapTopAndBottom/>
            <wp:docPr id="27" name="image15.jpeg" descr="Figure 3.2.tif"/>
            <wp:cNvGraphicFramePr>
              <a:graphicFrameLocks noChangeAspect="1"/>
            </wp:cNvGraphicFramePr>
            <a:graphic>
              <a:graphicData uri="http://schemas.openxmlformats.org/drawingml/2006/picture">
                <pic:pic>
                  <pic:nvPicPr>
                    <pic:cNvPr id="28" name="image15.jpeg"/>
                    <pic:cNvPicPr/>
                  </pic:nvPicPr>
                  <pic:blipFill>
                    <a:blip r:embed="rId23" cstate="print"/>
                    <a:stretch>
                      <a:fillRect/>
                    </a:stretch>
                  </pic:blipFill>
                  <pic:spPr>
                    <a:xfrm>
                      <a:off x="0" y="0"/>
                      <a:ext cx="4921738" cy="2113406"/>
                    </a:xfrm>
                    <a:prstGeom prst="rect">
                      <a:avLst/>
                    </a:prstGeom>
                  </pic:spPr>
                </pic:pic>
              </a:graphicData>
            </a:graphic>
          </wp:anchor>
        </w:drawing>
      </w:r>
    </w:p>
    <w:p>
      <w:pPr>
        <w:pStyle w:val="BodyText"/>
        <w:spacing w:before="6"/>
      </w:pPr>
    </w:p>
    <w:p>
      <w:pPr>
        <w:spacing w:before="1"/>
        <w:ind w:left="790" w:right="617" w:firstLine="0"/>
        <w:jc w:val="center"/>
        <w:rPr>
          <w:b/>
          <w:sz w:val="16"/>
        </w:rPr>
      </w:pPr>
      <w:r>
        <w:rPr>
          <w:b/>
          <w:sz w:val="16"/>
        </w:rPr>
        <w:t>Figure 3.2 Electromagnetic spectrum</w:t>
      </w:r>
    </w:p>
    <w:p>
      <w:pPr>
        <w:pStyle w:val="BodyText"/>
        <w:rPr>
          <w:b/>
          <w:sz w:val="18"/>
        </w:rPr>
      </w:pPr>
    </w:p>
    <w:p>
      <w:pPr>
        <w:pStyle w:val="BodyText"/>
        <w:rPr>
          <w:b/>
          <w:sz w:val="18"/>
        </w:rPr>
      </w:pPr>
    </w:p>
    <w:p>
      <w:pPr>
        <w:pStyle w:val="BodyText"/>
        <w:rPr>
          <w:b/>
          <w:sz w:val="18"/>
        </w:rPr>
      </w:pPr>
    </w:p>
    <w:p>
      <w:pPr>
        <w:pStyle w:val="BodyText"/>
        <w:spacing w:before="8"/>
        <w:rPr>
          <w:b/>
        </w:rPr>
      </w:pPr>
    </w:p>
    <w:p>
      <w:pPr>
        <w:pStyle w:val="Heading4"/>
      </w:pPr>
      <w:r>
        <w:rPr/>
        <w:t>Quantization of energy:</w:t>
      </w:r>
    </w:p>
    <w:p>
      <w:pPr>
        <w:pStyle w:val="BodyText"/>
        <w:rPr>
          <w:b/>
          <w:sz w:val="29"/>
        </w:rPr>
      </w:pPr>
    </w:p>
    <w:p>
      <w:pPr>
        <w:pStyle w:val="BodyText"/>
        <w:spacing w:line="360" w:lineRule="auto"/>
        <w:ind w:left="300" w:right="317"/>
        <w:jc w:val="both"/>
      </w:pPr>
      <w:r>
        <w:rPr/>
        <w:t>As put forward by Max Planck while studying the problem of Blackbody radiation in early 1900s, atoms and molecules can absorb or emit the energy in discrete packets, called quanta (singular: quantum). The quantum for electromagnetic energy is called a photon which has the energy given by equation 3.6. A molecule can possess energies</w:t>
      </w:r>
    </w:p>
    <w:p>
      <w:pPr>
        <w:spacing w:after="0" w:line="360" w:lineRule="auto"/>
        <w:jc w:val="both"/>
        <w:sectPr>
          <w:type w:val="continuous"/>
          <w:pgSz w:w="11910" w:h="16840"/>
          <w:pgMar w:top="1300" w:bottom="940" w:left="1500" w:right="1480"/>
        </w:sectPr>
      </w:pPr>
    </w:p>
    <w:p>
      <w:pPr>
        <w:pStyle w:val="BodyText"/>
        <w:spacing w:line="360" w:lineRule="auto" w:before="119"/>
        <w:ind w:left="300" w:right="313"/>
        <w:jc w:val="both"/>
      </w:pPr>
      <w:r>
        <w:rPr/>
        <w:t>in different forms such as vibrational energy, rotational energy, electronic energy, etc. Introduction to the structure of an atom in a General Chemistry course mentions about the electrons residing in different orbits/orbitals surrounding the nucleus, typically the first exposure to the discrete electronic energy levels of atoms. In much the same way, rotational and vibrational energy levels of molecules are also discrete. A molecule can jump from one energy level to another by absorbing or emitting a photon of energy that separate the two energy levels (Figure 3.3).</w:t>
      </w:r>
    </w:p>
    <w:p>
      <w:pPr>
        <w:pStyle w:val="BodyText"/>
        <w:spacing w:before="6"/>
        <w:rPr>
          <w:sz w:val="16"/>
        </w:rPr>
      </w:pPr>
      <w:r>
        <w:rPr/>
        <w:drawing>
          <wp:anchor distT="0" distB="0" distL="0" distR="0" allowOverlap="1" layoutInCell="1" locked="0" behindDoc="0" simplePos="0" relativeHeight="21">
            <wp:simplePos x="0" y="0"/>
            <wp:positionH relativeFrom="page">
              <wp:posOffset>2787624</wp:posOffset>
            </wp:positionH>
            <wp:positionV relativeFrom="paragraph">
              <wp:posOffset>145544</wp:posOffset>
            </wp:positionV>
            <wp:extent cx="2146972" cy="1764411"/>
            <wp:effectExtent l="0" t="0" r="0" b="0"/>
            <wp:wrapTopAndBottom/>
            <wp:docPr id="29" name="image16.png"/>
            <wp:cNvGraphicFramePr>
              <a:graphicFrameLocks noChangeAspect="1"/>
            </wp:cNvGraphicFramePr>
            <a:graphic>
              <a:graphicData uri="http://schemas.openxmlformats.org/drawingml/2006/picture">
                <pic:pic>
                  <pic:nvPicPr>
                    <pic:cNvPr id="30" name="image16.png"/>
                    <pic:cNvPicPr/>
                  </pic:nvPicPr>
                  <pic:blipFill>
                    <a:blip r:embed="rId24" cstate="print"/>
                    <a:stretch>
                      <a:fillRect/>
                    </a:stretch>
                  </pic:blipFill>
                  <pic:spPr>
                    <a:xfrm>
                      <a:off x="0" y="0"/>
                      <a:ext cx="2146972" cy="1764411"/>
                    </a:xfrm>
                    <a:prstGeom prst="rect">
                      <a:avLst/>
                    </a:prstGeom>
                  </pic:spPr>
                </pic:pic>
              </a:graphicData>
            </a:graphic>
          </wp:anchor>
        </w:drawing>
      </w:r>
    </w:p>
    <w:p>
      <w:pPr>
        <w:pStyle w:val="BodyText"/>
        <w:spacing w:before="6"/>
        <w:rPr>
          <w:sz w:val="26"/>
        </w:rPr>
      </w:pPr>
    </w:p>
    <w:p>
      <w:pPr>
        <w:spacing w:line="355" w:lineRule="auto" w:before="0"/>
        <w:ind w:left="496" w:right="443" w:firstLine="0"/>
        <w:jc w:val="left"/>
        <w:rPr>
          <w:b/>
          <w:sz w:val="16"/>
        </w:rPr>
      </w:pPr>
      <w:r>
        <w:rPr>
          <w:b/>
          <w:position w:val="2"/>
          <w:sz w:val="16"/>
        </w:rPr>
        <w:t>Figure 3.3 Transitions of a molecule between energy levels, E</w:t>
      </w:r>
      <w:r>
        <w:rPr>
          <w:b/>
          <w:sz w:val="10"/>
        </w:rPr>
        <w:t>1 </w:t>
      </w:r>
      <w:r>
        <w:rPr>
          <w:b/>
          <w:position w:val="2"/>
          <w:sz w:val="16"/>
        </w:rPr>
        <w:t>and E</w:t>
      </w:r>
      <w:r>
        <w:rPr>
          <w:b/>
          <w:sz w:val="10"/>
        </w:rPr>
        <w:t>2 </w:t>
      </w:r>
      <w:r>
        <w:rPr>
          <w:b/>
          <w:position w:val="2"/>
          <w:sz w:val="16"/>
        </w:rPr>
        <w:t>by absorbing/emitting the electromagnetic </w:t>
      </w:r>
      <w:r>
        <w:rPr>
          <w:b/>
          <w:sz w:val="16"/>
        </w:rPr>
        <w:t>radiation</w:t>
      </w:r>
    </w:p>
    <w:p>
      <w:pPr>
        <w:pStyle w:val="BodyText"/>
        <w:spacing w:before="10"/>
        <w:rPr>
          <w:b/>
          <w:sz w:val="17"/>
        </w:rPr>
      </w:pPr>
    </w:p>
    <w:p>
      <w:pPr>
        <w:pStyle w:val="Heading4"/>
      </w:pPr>
      <w:r>
        <w:rPr/>
        <w:t>Electromagnetic spectrum and the atomic/molecular processes:</w:t>
      </w:r>
    </w:p>
    <w:p>
      <w:pPr>
        <w:pStyle w:val="BodyText"/>
        <w:rPr>
          <w:b/>
          <w:sz w:val="29"/>
        </w:rPr>
      </w:pPr>
    </w:p>
    <w:p>
      <w:pPr>
        <w:pStyle w:val="BodyText"/>
        <w:spacing w:line="360" w:lineRule="auto"/>
        <w:ind w:left="300" w:right="318"/>
        <w:jc w:val="both"/>
      </w:pPr>
      <w:r>
        <w:rPr/>
        <w:t>Molecules undergo processes like rotation, vibration, electronic transitions, and nuclear transitions. The energies underlying these processes correspond to different regions in the electromagnetic spectrum (Figure 3.4):</w:t>
      </w:r>
    </w:p>
    <w:p>
      <w:pPr>
        <w:pStyle w:val="ListParagraph"/>
        <w:numPr>
          <w:ilvl w:val="0"/>
          <w:numId w:val="3"/>
        </w:numPr>
        <w:tabs>
          <w:tab w:pos="1080" w:val="left" w:leader="none"/>
        </w:tabs>
        <w:spacing w:line="360" w:lineRule="auto" w:before="198" w:after="0"/>
        <w:ind w:left="1080" w:right="316" w:hanging="488"/>
        <w:jc w:val="both"/>
        <w:rPr>
          <w:sz w:val="24"/>
        </w:rPr>
      </w:pPr>
      <w:r>
        <w:rPr>
          <w:sz w:val="24"/>
        </w:rPr>
        <w:t>Radiofrequency waves: Radiofrequency region has very low energies that correspond to the energy differences in the nuclear and electron spin states. These frequencies, therefore, find applications in nuclear magnetic resonance and electron paramagnetic resonance</w:t>
      </w:r>
      <w:r>
        <w:rPr>
          <w:spacing w:val="-3"/>
          <w:sz w:val="24"/>
        </w:rPr>
        <w:t> </w:t>
      </w:r>
      <w:r>
        <w:rPr>
          <w:sz w:val="24"/>
        </w:rPr>
        <w:t>spectroscopy.</w:t>
      </w:r>
    </w:p>
    <w:p>
      <w:pPr>
        <w:pStyle w:val="ListParagraph"/>
        <w:numPr>
          <w:ilvl w:val="0"/>
          <w:numId w:val="3"/>
        </w:numPr>
        <w:tabs>
          <w:tab w:pos="1080" w:val="left" w:leader="none"/>
        </w:tabs>
        <w:spacing w:line="360" w:lineRule="auto" w:before="0" w:after="0"/>
        <w:ind w:left="1080" w:right="316" w:hanging="555"/>
        <w:jc w:val="both"/>
        <w:rPr>
          <w:sz w:val="24"/>
        </w:rPr>
      </w:pPr>
      <w:r>
        <w:rPr>
          <w:sz w:val="24"/>
        </w:rPr>
        <w:t>Microwaves: Microwaves have energies between those of radiofrequency waves and infrared waves and find applications in rotational spectroscopy and electron paramagnetic resonance</w:t>
      </w:r>
      <w:r>
        <w:rPr>
          <w:spacing w:val="-3"/>
          <w:sz w:val="24"/>
        </w:rPr>
        <w:t> </w:t>
      </w:r>
      <w:r>
        <w:rPr>
          <w:sz w:val="24"/>
        </w:rPr>
        <w:t>spectroscopy.</w:t>
      </w:r>
    </w:p>
    <w:p>
      <w:pPr>
        <w:pStyle w:val="ListParagraph"/>
        <w:numPr>
          <w:ilvl w:val="0"/>
          <w:numId w:val="3"/>
        </w:numPr>
        <w:tabs>
          <w:tab w:pos="1080" w:val="left" w:leader="none"/>
        </w:tabs>
        <w:spacing w:line="360" w:lineRule="auto" w:before="1" w:after="0"/>
        <w:ind w:left="1080" w:right="318" w:hanging="620"/>
        <w:jc w:val="both"/>
        <w:rPr>
          <w:sz w:val="24"/>
        </w:rPr>
      </w:pPr>
      <w:r>
        <w:rPr>
          <w:sz w:val="24"/>
        </w:rPr>
        <w:t>Infrared radiation: The energies associated with molecular vibrations fall in the infrared region of electromagnetic spectrum. Infrared spectroscopy is therefore also known as vibrational spectroscopy and is a very useful technique for functional group identification in organic</w:t>
      </w:r>
      <w:r>
        <w:rPr>
          <w:spacing w:val="-4"/>
          <w:sz w:val="24"/>
        </w:rPr>
        <w:t> </w:t>
      </w:r>
      <w:r>
        <w:rPr>
          <w:sz w:val="24"/>
        </w:rPr>
        <w:t>compounds.</w:t>
      </w:r>
    </w:p>
    <w:p>
      <w:pPr>
        <w:spacing w:after="0" w:line="360" w:lineRule="auto"/>
        <w:jc w:val="both"/>
        <w:rPr>
          <w:sz w:val="24"/>
        </w:rPr>
        <w:sectPr>
          <w:pgSz w:w="11910" w:h="16840"/>
          <w:pgMar w:header="722" w:footer="748" w:top="1300" w:bottom="940" w:left="1500" w:right="1480"/>
        </w:sectPr>
      </w:pPr>
    </w:p>
    <w:p>
      <w:pPr>
        <w:pStyle w:val="ListParagraph"/>
        <w:numPr>
          <w:ilvl w:val="0"/>
          <w:numId w:val="3"/>
        </w:numPr>
        <w:tabs>
          <w:tab w:pos="1080" w:val="left" w:leader="none"/>
        </w:tabs>
        <w:spacing w:line="360" w:lineRule="auto" w:before="119" w:after="0"/>
        <w:ind w:left="1080" w:right="315" w:hanging="608"/>
        <w:jc w:val="both"/>
        <w:rPr>
          <w:sz w:val="24"/>
        </w:rPr>
      </w:pPr>
      <w:r>
        <w:rPr>
          <w:sz w:val="24"/>
        </w:rPr>
        <w:t>UV/Visible region: UV and visible regions are involved in the electronic transitions in the molecules. The spectroscopic methods using UV or visible light therefore come under ‘Electronic</w:t>
      </w:r>
      <w:r>
        <w:rPr>
          <w:spacing w:val="-4"/>
          <w:sz w:val="24"/>
        </w:rPr>
        <w:t> </w:t>
      </w:r>
      <w:r>
        <w:rPr>
          <w:sz w:val="24"/>
        </w:rPr>
        <w:t>spectroscopy’.</w:t>
      </w:r>
    </w:p>
    <w:p>
      <w:pPr>
        <w:pStyle w:val="ListParagraph"/>
        <w:numPr>
          <w:ilvl w:val="0"/>
          <w:numId w:val="3"/>
        </w:numPr>
        <w:tabs>
          <w:tab w:pos="1080" w:val="left" w:leader="none"/>
        </w:tabs>
        <w:spacing w:line="360" w:lineRule="auto" w:before="0" w:after="0"/>
        <w:ind w:left="1080" w:right="317" w:hanging="540"/>
        <w:jc w:val="both"/>
        <w:rPr>
          <w:sz w:val="24"/>
        </w:rPr>
      </w:pPr>
      <w:r>
        <w:rPr>
          <w:sz w:val="24"/>
        </w:rPr>
        <w:t>X-ray radiation: X-rays are high energy electromagnetic radiation and causes transitions in the internal electrons of the</w:t>
      </w:r>
      <w:r>
        <w:rPr>
          <w:spacing w:val="-5"/>
          <w:sz w:val="24"/>
        </w:rPr>
        <w:t> </w:t>
      </w:r>
      <w:r>
        <w:rPr>
          <w:sz w:val="24"/>
        </w:rPr>
        <w:t>molecules.</w:t>
      </w:r>
    </w:p>
    <w:p>
      <w:pPr>
        <w:pStyle w:val="BodyText"/>
        <w:spacing w:before="5"/>
        <w:rPr>
          <w:sz w:val="16"/>
        </w:rPr>
      </w:pPr>
      <w:r>
        <w:rPr/>
        <w:drawing>
          <wp:anchor distT="0" distB="0" distL="0" distR="0" allowOverlap="1" layoutInCell="1" locked="0" behindDoc="0" simplePos="0" relativeHeight="22">
            <wp:simplePos x="0" y="0"/>
            <wp:positionH relativeFrom="page">
              <wp:posOffset>1313983</wp:posOffset>
            </wp:positionH>
            <wp:positionV relativeFrom="paragraph">
              <wp:posOffset>145024</wp:posOffset>
            </wp:positionV>
            <wp:extent cx="5183420" cy="3261360"/>
            <wp:effectExtent l="0" t="0" r="0" b="0"/>
            <wp:wrapTopAndBottom/>
            <wp:docPr id="31" name="image17.png" descr="Figure 3.4.tif"/>
            <wp:cNvGraphicFramePr>
              <a:graphicFrameLocks noChangeAspect="1"/>
            </wp:cNvGraphicFramePr>
            <a:graphic>
              <a:graphicData uri="http://schemas.openxmlformats.org/drawingml/2006/picture">
                <pic:pic>
                  <pic:nvPicPr>
                    <pic:cNvPr id="32" name="image17.png"/>
                    <pic:cNvPicPr/>
                  </pic:nvPicPr>
                  <pic:blipFill>
                    <a:blip r:embed="rId25" cstate="print"/>
                    <a:stretch>
                      <a:fillRect/>
                    </a:stretch>
                  </pic:blipFill>
                  <pic:spPr>
                    <a:xfrm>
                      <a:off x="0" y="0"/>
                      <a:ext cx="5183420" cy="3261360"/>
                    </a:xfrm>
                    <a:prstGeom prst="rect">
                      <a:avLst/>
                    </a:prstGeom>
                  </pic:spPr>
                </pic:pic>
              </a:graphicData>
            </a:graphic>
          </wp:anchor>
        </w:drawing>
      </w:r>
    </w:p>
    <w:p>
      <w:pPr>
        <w:pStyle w:val="BodyText"/>
        <w:spacing w:before="1"/>
        <w:rPr>
          <w:sz w:val="29"/>
        </w:rPr>
      </w:pPr>
    </w:p>
    <w:p>
      <w:pPr>
        <w:spacing w:before="1"/>
        <w:ind w:left="292" w:right="117" w:firstLine="0"/>
        <w:jc w:val="center"/>
        <w:rPr>
          <w:b/>
          <w:sz w:val="16"/>
        </w:rPr>
      </w:pPr>
      <w:r>
        <w:rPr>
          <w:b/>
          <w:sz w:val="16"/>
        </w:rPr>
        <w:t>Figure 3.4 The range of atomic/molecular processes the electromagnetic radiation is involved in.</w:t>
      </w:r>
    </w:p>
    <w:p>
      <w:pPr>
        <w:pStyle w:val="BodyText"/>
        <w:rPr>
          <w:b/>
          <w:sz w:val="18"/>
        </w:rPr>
      </w:pPr>
    </w:p>
    <w:p>
      <w:pPr>
        <w:pStyle w:val="BodyText"/>
        <w:rPr>
          <w:b/>
          <w:sz w:val="18"/>
        </w:rPr>
      </w:pPr>
    </w:p>
    <w:p>
      <w:pPr>
        <w:pStyle w:val="BodyText"/>
        <w:rPr>
          <w:b/>
          <w:sz w:val="18"/>
        </w:rPr>
      </w:pPr>
    </w:p>
    <w:p>
      <w:pPr>
        <w:pStyle w:val="BodyText"/>
        <w:spacing w:before="8"/>
        <w:rPr>
          <w:b/>
        </w:rPr>
      </w:pPr>
    </w:p>
    <w:p>
      <w:pPr>
        <w:pStyle w:val="Heading4"/>
      </w:pPr>
      <w:r>
        <w:rPr/>
        <w:t>Mechanisms of interaction of electromagnetic radiation with matter:</w:t>
      </w:r>
    </w:p>
    <w:p>
      <w:pPr>
        <w:pStyle w:val="BodyText"/>
        <w:rPr>
          <w:b/>
          <w:sz w:val="29"/>
        </w:rPr>
      </w:pPr>
    </w:p>
    <w:p>
      <w:pPr>
        <w:pStyle w:val="BodyText"/>
        <w:spacing w:line="360" w:lineRule="auto"/>
        <w:ind w:left="300" w:right="317"/>
        <w:jc w:val="both"/>
      </w:pPr>
      <w:r>
        <w:rPr/>
        <w:t>In order to interact with the electromagnetic radiation, the molecules must have some electric or magnetic effect that could be influenced by the electric or magnetic components of the radiation.</w:t>
      </w:r>
    </w:p>
    <w:p>
      <w:pPr>
        <w:pStyle w:val="ListParagraph"/>
        <w:numPr>
          <w:ilvl w:val="0"/>
          <w:numId w:val="4"/>
        </w:numPr>
        <w:tabs>
          <w:tab w:pos="1020" w:val="left" w:leader="none"/>
        </w:tabs>
        <w:spacing w:line="360" w:lineRule="auto" w:before="198" w:after="0"/>
        <w:ind w:left="1020" w:right="316" w:hanging="488"/>
        <w:jc w:val="both"/>
        <w:rPr>
          <w:sz w:val="24"/>
        </w:rPr>
      </w:pPr>
      <w:r>
        <w:rPr>
          <w:sz w:val="24"/>
        </w:rPr>
        <w:t>In NMR spectroscopy, for example, the nuclear spins have magnetic dipoles aligned with or against a huge magnetic field. Interaction with radiofreqency of appropriate energy results in the change in these</w:t>
      </w:r>
      <w:r>
        <w:rPr>
          <w:spacing w:val="-11"/>
          <w:sz w:val="24"/>
        </w:rPr>
        <w:t> </w:t>
      </w:r>
      <w:r>
        <w:rPr>
          <w:sz w:val="24"/>
        </w:rPr>
        <w:t>dipoles.</w:t>
      </w:r>
    </w:p>
    <w:p>
      <w:pPr>
        <w:pStyle w:val="ListParagraph"/>
        <w:numPr>
          <w:ilvl w:val="0"/>
          <w:numId w:val="4"/>
        </w:numPr>
        <w:tabs>
          <w:tab w:pos="1020" w:val="left" w:leader="none"/>
        </w:tabs>
        <w:spacing w:line="360" w:lineRule="auto" w:before="2" w:after="0"/>
        <w:ind w:left="1020" w:right="317" w:hanging="555"/>
        <w:jc w:val="both"/>
        <w:rPr>
          <w:sz w:val="24"/>
        </w:rPr>
      </w:pPr>
      <w:r>
        <w:rPr>
          <w:sz w:val="24"/>
        </w:rPr>
        <w:t>Rotations of a molecule having a net electric dipole moment, such as water will cause changes in the directions of the dipole and therefore in the electrical properties (Figure 3.5A and B). Figure 3.5B shows the changes in the </w:t>
      </w:r>
      <w:r>
        <w:rPr>
          <w:spacing w:val="-3"/>
          <w:sz w:val="24"/>
        </w:rPr>
        <w:t>y- </w:t>
      </w:r>
      <w:r>
        <w:rPr>
          <w:sz w:val="24"/>
        </w:rPr>
        <w:t>component of the dipole moment due to rotation of water</w:t>
      </w:r>
      <w:r>
        <w:rPr>
          <w:spacing w:val="-8"/>
          <w:sz w:val="24"/>
        </w:rPr>
        <w:t> </w:t>
      </w:r>
      <w:r>
        <w:rPr>
          <w:sz w:val="24"/>
        </w:rPr>
        <w:t>molecule.</w:t>
      </w:r>
    </w:p>
    <w:p>
      <w:pPr>
        <w:spacing w:after="0" w:line="360" w:lineRule="auto"/>
        <w:jc w:val="both"/>
        <w:rPr>
          <w:sz w:val="24"/>
        </w:rPr>
        <w:sectPr>
          <w:pgSz w:w="11910" w:h="16840"/>
          <w:pgMar w:header="722" w:footer="748" w:top="1300" w:bottom="940" w:left="1500" w:right="1480"/>
        </w:sectPr>
      </w:pPr>
    </w:p>
    <w:p>
      <w:pPr>
        <w:pStyle w:val="ListParagraph"/>
        <w:numPr>
          <w:ilvl w:val="0"/>
          <w:numId w:val="4"/>
        </w:numPr>
        <w:tabs>
          <w:tab w:pos="1020" w:val="left" w:leader="none"/>
        </w:tabs>
        <w:spacing w:line="360" w:lineRule="auto" w:before="119" w:after="0"/>
        <w:ind w:left="1020" w:right="315" w:hanging="620"/>
        <w:jc w:val="both"/>
        <w:rPr>
          <w:sz w:val="24"/>
        </w:rPr>
      </w:pPr>
      <w:r>
        <w:rPr>
          <w:sz w:val="24"/>
        </w:rPr>
        <w:t>Vibrations of molecules can result in changes in electric dipoles that could interact with the electrical component of the electromagnetic radiation (Figure 3.5C).</w:t>
      </w:r>
    </w:p>
    <w:p>
      <w:pPr>
        <w:pStyle w:val="ListParagraph"/>
        <w:numPr>
          <w:ilvl w:val="0"/>
          <w:numId w:val="4"/>
        </w:numPr>
        <w:tabs>
          <w:tab w:pos="1020" w:val="left" w:leader="none"/>
        </w:tabs>
        <w:spacing w:line="360" w:lineRule="auto" w:before="0" w:after="0"/>
        <w:ind w:left="1020" w:right="317" w:hanging="608"/>
        <w:jc w:val="both"/>
        <w:rPr>
          <w:sz w:val="24"/>
        </w:rPr>
      </w:pPr>
      <w:r>
        <w:rPr>
          <w:sz w:val="24"/>
        </w:rPr>
        <w:t>Electronic transitions take place from one orbital to another. Owing to the differences in the geometry, size, and the spatial organization of the different orbitals, an electronic transition causes change in the dipole moment of the molecule (Figure</w:t>
      </w:r>
      <w:r>
        <w:rPr>
          <w:spacing w:val="-3"/>
          <w:sz w:val="24"/>
        </w:rPr>
        <w:t> </w:t>
      </w:r>
      <w:r>
        <w:rPr>
          <w:sz w:val="24"/>
        </w:rPr>
        <w:t>3.5D).</w:t>
      </w:r>
    </w:p>
    <w:p>
      <w:pPr>
        <w:pStyle w:val="BodyText"/>
        <w:rPr>
          <w:sz w:val="20"/>
        </w:rPr>
      </w:pPr>
    </w:p>
    <w:p>
      <w:pPr>
        <w:pStyle w:val="BodyText"/>
        <w:rPr>
          <w:sz w:val="20"/>
        </w:rPr>
      </w:pPr>
    </w:p>
    <w:p>
      <w:pPr>
        <w:pStyle w:val="BodyText"/>
        <w:spacing w:before="9"/>
        <w:rPr>
          <w:sz w:val="10"/>
        </w:rPr>
      </w:pPr>
      <w:r>
        <w:rPr/>
        <w:drawing>
          <wp:anchor distT="0" distB="0" distL="0" distR="0" allowOverlap="1" layoutInCell="1" locked="0" behindDoc="0" simplePos="0" relativeHeight="23">
            <wp:simplePos x="0" y="0"/>
            <wp:positionH relativeFrom="page">
              <wp:posOffset>1300626</wp:posOffset>
            </wp:positionH>
            <wp:positionV relativeFrom="paragraph">
              <wp:posOffset>103604</wp:posOffset>
            </wp:positionV>
            <wp:extent cx="5099358" cy="2828544"/>
            <wp:effectExtent l="0" t="0" r="0" b="0"/>
            <wp:wrapTopAndBottom/>
            <wp:docPr id="33" name="image18.jpeg" descr="Figure 5 (Out of line molecule).tif"/>
            <wp:cNvGraphicFramePr>
              <a:graphicFrameLocks noChangeAspect="1"/>
            </wp:cNvGraphicFramePr>
            <a:graphic>
              <a:graphicData uri="http://schemas.openxmlformats.org/drawingml/2006/picture">
                <pic:pic>
                  <pic:nvPicPr>
                    <pic:cNvPr id="34" name="image18.jpeg"/>
                    <pic:cNvPicPr/>
                  </pic:nvPicPr>
                  <pic:blipFill>
                    <a:blip r:embed="rId26" cstate="print"/>
                    <a:stretch>
                      <a:fillRect/>
                    </a:stretch>
                  </pic:blipFill>
                  <pic:spPr>
                    <a:xfrm>
                      <a:off x="0" y="0"/>
                      <a:ext cx="5099358" cy="2828544"/>
                    </a:xfrm>
                    <a:prstGeom prst="rect">
                      <a:avLst/>
                    </a:prstGeom>
                  </pic:spPr>
                </pic:pic>
              </a:graphicData>
            </a:graphic>
          </wp:anchor>
        </w:drawing>
      </w:r>
    </w:p>
    <w:p>
      <w:pPr>
        <w:pStyle w:val="BodyText"/>
        <w:spacing w:before="9"/>
        <w:rPr>
          <w:sz w:val="27"/>
        </w:rPr>
      </w:pPr>
    </w:p>
    <w:p>
      <w:pPr>
        <w:spacing w:line="360" w:lineRule="auto" w:before="0"/>
        <w:ind w:left="496" w:right="317" w:firstLine="0"/>
        <w:jc w:val="both"/>
        <w:rPr>
          <w:b/>
          <w:sz w:val="16"/>
        </w:rPr>
      </w:pPr>
      <w:r>
        <w:rPr>
          <w:b/>
          <w:sz w:val="16"/>
        </w:rPr>
        <w:t>Figure 3.5 Panel A shows the rotation of a water molecule around its centre of mass (A). The change in the dipole moment as a result of rotation in plotted in panel B. Panel C shows the change in dipole moment of water due to asymmetric stretching vibrations of O—H bond. Panel D shows an electronic transition from </w:t>
      </w:r>
      <w:r>
        <w:rPr>
          <w:b/>
          <w:i/>
          <w:sz w:val="16"/>
        </w:rPr>
        <w:t>π </w:t>
      </w:r>
      <w:r>
        <w:rPr>
          <w:b/>
          <w:sz w:val="16"/>
        </w:rPr>
        <w:t>to </w:t>
      </w:r>
      <w:r>
        <w:rPr>
          <w:b/>
          <w:i/>
          <w:sz w:val="16"/>
        </w:rPr>
        <w:t>π* </w:t>
      </w:r>
      <w:r>
        <w:rPr>
          <w:b/>
          <w:sz w:val="16"/>
        </w:rPr>
        <w:t>orbital and the geometry of the two orbitals.</w:t>
      </w:r>
    </w:p>
    <w:p>
      <w:pPr>
        <w:pStyle w:val="BodyText"/>
        <w:spacing w:before="1"/>
        <w:rPr>
          <w:b/>
          <w:sz w:val="17"/>
        </w:rPr>
      </w:pPr>
    </w:p>
    <w:p>
      <w:pPr>
        <w:pStyle w:val="BodyText"/>
        <w:spacing w:line="360" w:lineRule="auto"/>
        <w:ind w:left="300" w:right="4181"/>
        <w:jc w:val="both"/>
      </w:pPr>
      <w:r>
        <w:rPr/>
        <w:pict>
          <v:group style="position:absolute;margin-left:321.720001pt;margin-top:4.362113pt;width:189pt;height:87.5pt;mso-position-horizontal-relative:page;mso-position-vertical-relative:paragraph;z-index:15741440" coordorigin="6434,87" coordsize="3780,1750">
            <v:shape style="position:absolute;left:6434;top:87;width:3780;height:1750" coordorigin="6434,87" coordsize="3780,1750" path="m6994,87l6886,87,6886,363,6886,363,6886,87,6542,87,6434,87,6434,1165,6434,1837,6994,1837,6994,1165,6994,87xm10214,87l10106,87,10106,87,7102,87,6994,87,6994,1837,7102,1837,10106,1837,10106,1837,10214,1837,10214,87xe" filled="true" fillcolor="#ffff00" stroked="false">
              <v:path arrowok="t"/>
              <v:fill type="solid"/>
            </v:shape>
            <v:shape style="position:absolute;left:6559;top:380;width:280;height:496" coordorigin="6559,380" coordsize="280,496" path="m6707,380l6691,380,6678,382,6621,408,6576,467,6559,538,6559,557,6581,633,6637,707,6643,716,6647,725,6651,739,6651,824,6652,830,6653,836,6657,846,6662,855,6666,859,6669,863,6694,875,6704,875,6732,859,6736,855,6741,846,6745,836,6746,830,6747,824,6747,739,6751,725,6755,716,6761,707,6802,658,6817,633,6838,567,6839,557,6839,538,6822,467,6777,408,6734,385,6720,382xe" filled="true" fillcolor="#ffc000" stroked="false">
              <v:path arrowok="t"/>
              <v:fill type="solid"/>
            </v:shape>
            <v:shape style="position:absolute;left:6647;top:597;width:104;height:220" type="#_x0000_t75" stroked="false">
              <v:imagedata r:id="rId27" o:title=""/>
            </v:shape>
            <v:shape style="position:absolute;left:6559;top:380;width:280;height:496" coordorigin="6559,380" coordsize="280,496" path="m6699,875l6704,875,6708,875,6732,859,6736,855,6747,824,6747,819,6747,817,6747,739,6748,735,6793,669,6802,658,6810,645,6817,633,6824,618,6828,612,6831,603,6833,595,6835,586,6837,577,6838,567,6839,557,6839,547,6839,538,6825,475,6788,418,6734,385,6707,380,6699,380,6691,380,6633,400,6583,454,6562,513,6559,538,6559,547,6559,557,6560,567,6561,577,6563,586,6565,595,6567,603,6570,612,6574,618,6581,633,6588,645,6596,658,6605,669,6622,689,6637,707,6643,716,6647,725,6649,730,6650,735,6651,739,6651,824,6652,830,6666,859,6669,863,6694,875,6699,875xe" filled="false" stroked="true" strokeweight="1pt" strokecolor="#000000">
              <v:path arrowok="t"/>
              <v:stroke dashstyle="solid"/>
            </v:shape>
            <v:shape style="position:absolute;left:6647;top:597;width:104;height:220" coordorigin="6648,598" coordsize="104,220" path="m6678,709l6669,654,6653,611,6648,600,6669,612,6685,598,6704,611,6718,598,6732,610,6751,600,6726,659,6719,709m6652,744l6747,744,6747,769,6652,769,6652,793,6747,794,6747,817,6652,817e" filled="false" stroked="true" strokeweight="1pt" strokecolor="#000000">
              <v:path arrowok="t"/>
              <v:stroke dashstyle="solid"/>
            </v:shape>
            <v:shape style="position:absolute;left:6434;top:87;width:3780;height:1750" type="#_x0000_t202" filled="false" stroked="false">
              <v:textbox inset="0,0,0,0">
                <w:txbxContent>
                  <w:p>
                    <w:pPr>
                      <w:spacing w:line="240" w:lineRule="auto" w:before="10"/>
                      <w:rPr>
                        <w:sz w:val="19"/>
                      </w:rPr>
                    </w:pPr>
                  </w:p>
                  <w:p>
                    <w:pPr>
                      <w:spacing w:before="0"/>
                      <w:ind w:left="667" w:right="0" w:firstLine="0"/>
                      <w:jc w:val="both"/>
                      <w:rPr>
                        <w:b/>
                        <w:sz w:val="20"/>
                      </w:rPr>
                    </w:pPr>
                    <w:r>
                      <w:rPr>
                        <w:b/>
                        <w:color w:val="C00000"/>
                        <w:sz w:val="20"/>
                      </w:rPr>
                      <w:t>THINK TANK??</w:t>
                    </w:r>
                  </w:p>
                  <w:p>
                    <w:pPr>
                      <w:spacing w:before="179"/>
                      <w:ind w:left="667" w:right="105" w:firstLine="0"/>
                      <w:jc w:val="both"/>
                      <w:rPr>
                        <w:sz w:val="24"/>
                      </w:rPr>
                    </w:pPr>
                    <w:r>
                      <w:rPr>
                        <w:color w:val="003300"/>
                        <w:sz w:val="24"/>
                      </w:rPr>
                      <w:t>Will there be a change in the dipole moment if there is symmetric stretching of O―H bond in water molecule?</w:t>
                    </w:r>
                  </w:p>
                </w:txbxContent>
              </v:textbox>
              <w10:wrap type="none"/>
            </v:shape>
            <w10:wrap type="none"/>
          </v:group>
        </w:pict>
      </w:r>
      <w:r>
        <w:rPr/>
        <w:t>The above examples suggest that a change in either electric or magnetic dipole moment in a molecule is required for the absorption or emission of the electromagnetic radiation.</w:t>
      </w:r>
    </w:p>
    <w:p>
      <w:pPr>
        <w:pStyle w:val="BodyText"/>
        <w:rPr>
          <w:sz w:val="26"/>
        </w:rPr>
      </w:pPr>
    </w:p>
    <w:p>
      <w:pPr>
        <w:pStyle w:val="BodyText"/>
        <w:rPr>
          <w:sz w:val="26"/>
        </w:rPr>
      </w:pPr>
    </w:p>
    <w:p>
      <w:pPr>
        <w:pStyle w:val="Heading4"/>
        <w:spacing w:before="221"/>
      </w:pPr>
      <w:r>
        <w:rPr/>
        <w:t>Absorption peaks and line widths:</w:t>
      </w:r>
    </w:p>
    <w:p>
      <w:pPr>
        <w:pStyle w:val="BodyText"/>
        <w:rPr>
          <w:b/>
          <w:sz w:val="29"/>
        </w:rPr>
      </w:pPr>
    </w:p>
    <w:p>
      <w:pPr>
        <w:pStyle w:val="BodyText"/>
        <w:spacing w:line="360" w:lineRule="auto"/>
        <w:ind w:left="300" w:right="316"/>
        <w:jc w:val="both"/>
      </w:pPr>
      <w:r>
        <w:rPr/>
        <w:t>Absorption of radiation is the first step in any spectroscopic experiment. Absorption spectra are routinely recorded for the electronic, rotational, and vibrational spectroscopy. It is therefore important to see how an absorption spectrum looks like.</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5"/>
        <w:jc w:val="both"/>
      </w:pPr>
      <w:r>
        <w:rPr/>
        <w:t>As we have already seen, a transition between states takes place if the energy provided</w:t>
      </w:r>
      <w:r>
        <w:rPr>
          <w:spacing w:val="46"/>
        </w:rPr>
        <w:t> </w:t>
      </w:r>
      <w:r>
        <w:rPr/>
        <w:t>by</w:t>
      </w:r>
      <w:r>
        <w:rPr>
          <w:spacing w:val="42"/>
        </w:rPr>
        <w:t> </w:t>
      </w:r>
      <w:r>
        <w:rPr/>
        <w:t>the</w:t>
      </w:r>
      <w:r>
        <w:rPr>
          <w:spacing w:val="45"/>
        </w:rPr>
        <w:t> </w:t>
      </w:r>
      <w:r>
        <w:rPr/>
        <w:t>electromagnetic</w:t>
      </w:r>
      <w:r>
        <w:rPr>
          <w:spacing w:val="46"/>
        </w:rPr>
        <w:t> </w:t>
      </w:r>
      <w:r>
        <w:rPr/>
        <w:t>radiation</w:t>
      </w:r>
      <w:r>
        <w:rPr>
          <w:spacing w:val="46"/>
        </w:rPr>
        <w:t> </w:t>
      </w:r>
      <w:r>
        <w:rPr/>
        <w:t>equals</w:t>
      </w:r>
      <w:r>
        <w:rPr>
          <w:spacing w:val="47"/>
        </w:rPr>
        <w:t> </w:t>
      </w:r>
      <w:r>
        <w:rPr/>
        <w:t>the</w:t>
      </w:r>
      <w:r>
        <w:rPr>
          <w:spacing w:val="45"/>
        </w:rPr>
        <w:t> </w:t>
      </w:r>
      <w:r>
        <w:rPr/>
        <w:t>energy</w:t>
      </w:r>
      <w:r>
        <w:rPr>
          <w:spacing w:val="44"/>
        </w:rPr>
        <w:t> </w:t>
      </w:r>
      <w:r>
        <w:rPr/>
        <w:t>gap</w:t>
      </w:r>
      <w:r>
        <w:rPr>
          <w:spacing w:val="47"/>
        </w:rPr>
        <w:t> </w:t>
      </w:r>
      <w:r>
        <w:rPr/>
        <w:t>between</w:t>
      </w:r>
      <w:r>
        <w:rPr>
          <w:spacing w:val="46"/>
        </w:rPr>
        <w:t> </w:t>
      </w:r>
      <w:r>
        <w:rPr/>
        <w:t>the</w:t>
      </w:r>
      <w:r>
        <w:rPr>
          <w:spacing w:val="46"/>
        </w:rPr>
        <w:t> </w:t>
      </w:r>
      <w:r>
        <w:rPr/>
        <w:t>two</w:t>
      </w:r>
    </w:p>
    <w:p>
      <w:pPr>
        <w:pStyle w:val="BodyText"/>
        <w:spacing w:line="243" w:lineRule="exact" w:before="68"/>
        <w:ind w:left="300"/>
        <w:jc w:val="both"/>
      </w:pPr>
      <w:r>
        <w:rPr/>
        <w:t>states </w:t>
      </w:r>
      <w:r>
        <w:rPr>
          <w:i/>
        </w:rPr>
        <w:t>i.e. </w:t>
      </w:r>
      <w:r>
        <w:rPr>
          <w:rFonts w:ascii="Symbola" w:hAnsi="Symbola" w:eastAsia="Symbola"/>
        </w:rPr>
        <w:t>∆𝐸 = ℎ𝜐 =</w:t>
      </w:r>
      <w:r>
        <w:rPr>
          <w:rFonts w:ascii="Symbola" w:hAnsi="Symbola" w:eastAsia="Symbola"/>
          <w:spacing w:val="55"/>
        </w:rPr>
        <w:t> </w:t>
      </w:r>
      <w:r>
        <w:rPr>
          <w:rFonts w:ascii="Symbola" w:hAnsi="Symbola" w:eastAsia="Symbola"/>
          <w:u w:val="single"/>
          <w:vertAlign w:val="superscript"/>
        </w:rPr>
        <w:t>ℎ𝑐</w:t>
      </w:r>
      <w:r>
        <w:rPr>
          <w:vertAlign w:val="baseline"/>
        </w:rPr>
        <w:t>. This implies that the molecule precisely absorbs the</w:t>
      </w:r>
    </w:p>
    <w:p>
      <w:pPr>
        <w:spacing w:line="137" w:lineRule="exact" w:before="0"/>
        <w:ind w:left="2700" w:right="0" w:firstLine="0"/>
        <w:jc w:val="left"/>
        <w:rPr>
          <w:rFonts w:ascii="Symbola" w:eastAsia="Symbola"/>
          <w:sz w:val="17"/>
        </w:rPr>
      </w:pPr>
      <w:r>
        <w:rPr>
          <w:rFonts w:ascii="Symbola" w:eastAsia="Symbola"/>
          <w:w w:val="105"/>
          <w:sz w:val="17"/>
        </w:rPr>
        <w:t>𝜆</w:t>
      </w:r>
    </w:p>
    <w:p>
      <w:pPr>
        <w:pStyle w:val="BodyText"/>
        <w:spacing w:line="360" w:lineRule="auto" w:before="104"/>
        <w:ind w:left="300" w:right="318"/>
        <w:jc w:val="both"/>
      </w:pPr>
      <w:r>
        <w:rPr/>
        <w:t>radiation of wavelength, </w:t>
      </w:r>
      <w:r>
        <w:rPr>
          <w:i/>
        </w:rPr>
        <w:t>λ </w:t>
      </w:r>
      <w:r>
        <w:rPr/>
        <w:t>and ideally a sharp absorption line should appear at this wavelength (Figure 3.6A). In practice, however, the absorption lines are not sharp but appear as fairly broad peaks (Figure 3.6B) for the following reasons:</w:t>
      </w:r>
    </w:p>
    <w:p>
      <w:pPr>
        <w:pStyle w:val="ListParagraph"/>
        <w:numPr>
          <w:ilvl w:val="0"/>
          <w:numId w:val="5"/>
        </w:numPr>
        <w:tabs>
          <w:tab w:pos="1020" w:val="left" w:leader="none"/>
        </w:tabs>
        <w:spacing w:line="360" w:lineRule="auto" w:before="200" w:after="0"/>
        <w:ind w:left="1020" w:right="316" w:hanging="488"/>
        <w:jc w:val="both"/>
        <w:rPr>
          <w:sz w:val="24"/>
        </w:rPr>
      </w:pPr>
      <w:r>
        <w:rPr>
          <w:sz w:val="24"/>
        </w:rPr>
        <w:t>Instrumental factors: The slits that allow the incident light to impinge on the sample and the emerging light to the detector have finite widths. Consider that the transition occurs at wavelength, </w:t>
      </w:r>
      <w:r>
        <w:rPr>
          <w:i/>
          <w:sz w:val="24"/>
        </w:rPr>
        <w:t>λ</w:t>
      </w:r>
      <w:r>
        <w:rPr>
          <w:i/>
          <w:sz w:val="24"/>
          <w:vertAlign w:val="subscript"/>
        </w:rPr>
        <w:t>t</w:t>
      </w:r>
      <w:r>
        <w:rPr>
          <w:sz w:val="24"/>
          <w:vertAlign w:val="baseline"/>
        </w:rPr>
        <w:t>. When the wavelength is changed to </w:t>
      </w:r>
      <w:r>
        <w:rPr>
          <w:i/>
          <w:sz w:val="24"/>
          <w:vertAlign w:val="baseline"/>
        </w:rPr>
        <w:t>λ</w:t>
      </w:r>
      <w:r>
        <w:rPr>
          <w:i/>
          <w:sz w:val="24"/>
          <w:vertAlign w:val="subscript"/>
        </w:rPr>
        <w:t>t</w:t>
      </w:r>
      <w:r>
        <w:rPr>
          <w:i/>
          <w:spacing w:val="10"/>
          <w:sz w:val="24"/>
          <w:vertAlign w:val="baseline"/>
        </w:rPr>
        <w:t> </w:t>
      </w:r>
      <w:r>
        <w:rPr>
          <w:sz w:val="24"/>
          <w:vertAlign w:val="baseline"/>
        </w:rPr>
        <w:t>+</w:t>
      </w:r>
    </w:p>
    <w:p>
      <w:pPr>
        <w:pStyle w:val="BodyText"/>
        <w:spacing w:line="360" w:lineRule="auto"/>
        <w:ind w:left="1020" w:right="317"/>
        <w:jc w:val="both"/>
      </w:pPr>
      <w:r>
        <w:rPr>
          <w:i/>
        </w:rPr>
        <w:t>∆λ </w:t>
      </w:r>
      <w:r>
        <w:rPr/>
        <w:t>or </w:t>
      </w:r>
      <w:r>
        <w:rPr>
          <w:i/>
        </w:rPr>
        <w:t>λ</w:t>
      </w:r>
      <w:r>
        <w:rPr>
          <w:i/>
          <w:vertAlign w:val="subscript"/>
        </w:rPr>
        <w:t>t</w:t>
      </w:r>
      <w:r>
        <w:rPr>
          <w:i/>
          <w:vertAlign w:val="baseline"/>
        </w:rPr>
        <w:t> </w:t>
      </w:r>
      <w:r>
        <w:rPr>
          <w:vertAlign w:val="baseline"/>
        </w:rPr>
        <w:t>– </w:t>
      </w:r>
      <w:r>
        <w:rPr>
          <w:i/>
          <w:vertAlign w:val="baseline"/>
        </w:rPr>
        <w:t>∆λ</w:t>
      </w:r>
      <w:r>
        <w:rPr>
          <w:vertAlign w:val="baseline"/>
        </w:rPr>
        <w:t>, the finite slit width allows the radiation of wavelength, λ</w:t>
      </w:r>
      <w:r>
        <w:rPr>
          <w:vertAlign w:val="subscript"/>
        </w:rPr>
        <w:t>t</w:t>
      </w:r>
      <w:r>
        <w:rPr>
          <w:vertAlign w:val="baseline"/>
        </w:rPr>
        <w:t> to pass through the slits and a finite absorbance is observed at these wavelengths. The absorption peaks are therefore symmetrical to the line at </w:t>
      </w:r>
      <w:r>
        <w:rPr>
          <w:i/>
          <w:vertAlign w:val="baseline"/>
        </w:rPr>
        <w:t>λ </w:t>
      </w:r>
      <w:r>
        <w:rPr>
          <w:vertAlign w:val="baseline"/>
        </w:rPr>
        <w:t>= </w:t>
      </w:r>
      <w:r>
        <w:rPr>
          <w:i/>
          <w:vertAlign w:val="baseline"/>
        </w:rPr>
        <w:t>λ</w:t>
      </w:r>
      <w:r>
        <w:rPr>
          <w:i/>
          <w:vertAlign w:val="subscript"/>
        </w:rPr>
        <w:t>t</w:t>
      </w:r>
      <w:r>
        <w:rPr>
          <w:vertAlign w:val="baseline"/>
        </w:rPr>
        <w:t>.</w:t>
      </w:r>
    </w:p>
    <w:p>
      <w:pPr>
        <w:pStyle w:val="ListParagraph"/>
        <w:numPr>
          <w:ilvl w:val="0"/>
          <w:numId w:val="5"/>
        </w:numPr>
        <w:tabs>
          <w:tab w:pos="1020" w:val="left" w:leader="none"/>
        </w:tabs>
        <w:spacing w:line="360" w:lineRule="auto" w:before="0" w:after="0"/>
        <w:ind w:left="1019" w:right="316" w:hanging="555"/>
        <w:jc w:val="both"/>
        <w:rPr>
          <w:sz w:val="24"/>
        </w:rPr>
      </w:pPr>
      <w:r>
        <w:rPr>
          <w:sz w:val="24"/>
        </w:rPr>
        <w:t>Sample factors: Molecules in a liquid or gaseous sample are in motion and keep colliding with each other. Collisions influence the vibrational and rotational motions of the molecules thereby causing broadening. Two atoms/molecules coming in close proximity will perturb the electronic energies, at least those of the outermost electrons resulting in broadening of electronic spectra. Motion of molecules undergoing transition also causes shift in absorption frequencies, known as Doppler</w:t>
      </w:r>
      <w:r>
        <w:rPr>
          <w:spacing w:val="-3"/>
          <w:sz w:val="24"/>
        </w:rPr>
        <w:t> </w:t>
      </w:r>
      <w:r>
        <w:rPr>
          <w:sz w:val="24"/>
        </w:rPr>
        <w:t>broadening.</w:t>
      </w:r>
    </w:p>
    <w:p>
      <w:pPr>
        <w:pStyle w:val="ListParagraph"/>
        <w:numPr>
          <w:ilvl w:val="0"/>
          <w:numId w:val="5"/>
        </w:numPr>
        <w:tabs>
          <w:tab w:pos="1020" w:val="left" w:leader="none"/>
        </w:tabs>
        <w:spacing w:line="360" w:lineRule="auto" w:before="0" w:after="0"/>
        <w:ind w:left="1019" w:right="314" w:hanging="620"/>
        <w:jc w:val="both"/>
        <w:rPr>
          <w:sz w:val="24"/>
        </w:rPr>
      </w:pPr>
      <w:r>
        <w:rPr>
          <w:sz w:val="24"/>
        </w:rPr>
        <w:t>Intrinsic broadening: Intrinsic or natural broadening arises from the Heisenberg’s uncertainty principle which states that the shorter the lifetime of a state, the more uncertain is its energy. Molecular transitions have finite lifetimes, therefore their energy is not exact. If ∆t is the lifetime of a molecule in an excited state, the uncertainty in the energy of the states is given</w:t>
      </w:r>
      <w:r>
        <w:rPr>
          <w:spacing w:val="-17"/>
          <w:sz w:val="24"/>
        </w:rPr>
        <w:t> </w:t>
      </w:r>
      <w:r>
        <w:rPr>
          <w:sz w:val="24"/>
        </w:rPr>
        <w:t>by:</w:t>
      </w:r>
    </w:p>
    <w:p>
      <w:pPr>
        <w:spacing w:after="0" w:line="360" w:lineRule="auto"/>
        <w:jc w:val="both"/>
        <w:rPr>
          <w:sz w:val="24"/>
        </w:rPr>
        <w:sectPr>
          <w:pgSz w:w="11910" w:h="16840"/>
          <w:pgMar w:header="722" w:footer="748" w:top="1300" w:bottom="940" w:left="1500" w:right="1480"/>
        </w:sectPr>
      </w:pPr>
    </w:p>
    <w:p>
      <w:pPr>
        <w:pStyle w:val="BodyText"/>
        <w:spacing w:line="207" w:lineRule="exact" w:before="305"/>
        <w:ind w:left="2460"/>
        <w:rPr>
          <w:rFonts w:ascii="Symbola" w:hAnsi="Symbola" w:eastAsia="Symbola"/>
        </w:rPr>
      </w:pPr>
      <w:r>
        <w:rPr/>
        <w:pict>
          <v:rect style="position:absolute;margin-left:265.440002pt;margin-top:20.819153pt;width:10.68pt;height:.841pt;mso-position-horizontal-relative:page;mso-position-vertical-relative:paragraph;z-index:-18525696" filled="true" fillcolor="#000000" stroked="false">
            <v:fill type="solid"/>
            <w10:wrap type="none"/>
          </v:rect>
        </w:pict>
      </w:r>
      <w:r>
        <w:rPr>
          <w:rFonts w:ascii="Symbola" w:hAnsi="Symbola" w:eastAsia="Symbola"/>
        </w:rPr>
        <w:t>∆𝐸 × ∆𝑡 ≥ </w:t>
      </w:r>
      <w:r>
        <w:rPr>
          <w:rFonts w:ascii="Symbola" w:hAnsi="Symbola" w:eastAsia="Symbola"/>
          <w:vertAlign w:val="superscript"/>
        </w:rPr>
        <w:t>ℎ</w:t>
      </w:r>
    </w:p>
    <w:p>
      <w:pPr>
        <w:spacing w:line="137" w:lineRule="exact" w:before="0"/>
        <w:ind w:left="3808" w:right="0" w:firstLine="0"/>
        <w:jc w:val="left"/>
        <w:rPr>
          <w:rFonts w:ascii="Symbola" w:eastAsia="Symbola"/>
          <w:sz w:val="17"/>
        </w:rPr>
      </w:pPr>
      <w:r>
        <w:rPr>
          <w:rFonts w:ascii="Symbola" w:eastAsia="Symbola"/>
          <w:w w:val="115"/>
          <w:sz w:val="17"/>
        </w:rPr>
        <w:t>4𝜋</w:t>
      </w:r>
    </w:p>
    <w:p>
      <w:pPr>
        <w:pStyle w:val="BodyText"/>
        <w:rPr>
          <w:rFonts w:ascii="Symbola"/>
          <w:sz w:val="20"/>
        </w:rPr>
      </w:pPr>
    </w:p>
    <w:p>
      <w:pPr>
        <w:pStyle w:val="BodyText"/>
        <w:spacing w:before="9"/>
        <w:rPr>
          <w:rFonts w:ascii="Symbola"/>
          <w:sz w:val="20"/>
        </w:rPr>
      </w:pPr>
    </w:p>
    <w:p>
      <w:pPr>
        <w:pStyle w:val="BodyText"/>
        <w:spacing w:line="207" w:lineRule="exact"/>
        <w:ind w:left="2460"/>
        <w:rPr>
          <w:rFonts w:ascii="Symbola" w:hAnsi="Symbola" w:eastAsia="Symbola"/>
        </w:rPr>
      </w:pPr>
      <w:r>
        <w:rPr/>
        <w:pict>
          <v:rect style="position:absolute;margin-left:265.440002pt;margin-top:5.57016pt;width:5.04pt;height:.84pt;mso-position-horizontal-relative:page;mso-position-vertical-relative:paragraph;z-index:-18525184" filled="true" fillcolor="#000000" stroked="false">
            <v:fill type="solid"/>
            <w10:wrap type="none"/>
          </v:rect>
        </w:pict>
      </w:r>
      <w:r>
        <w:rPr>
          <w:rFonts w:ascii="Symbola" w:hAnsi="Symbola" w:eastAsia="Symbola"/>
          <w:w w:val="95"/>
        </w:rPr>
        <w:t>∆𝐸 × ∆𝑡 ≥ </w:t>
      </w:r>
      <w:r>
        <w:rPr>
          <w:rFonts w:ascii="Symbola" w:hAnsi="Symbola" w:eastAsia="Symbola"/>
          <w:w w:val="95"/>
          <w:vertAlign w:val="superscript"/>
        </w:rPr>
        <w:t>ℏ</w:t>
      </w:r>
    </w:p>
    <w:p>
      <w:pPr>
        <w:spacing w:line="137" w:lineRule="exact" w:before="0"/>
        <w:ind w:left="3808" w:right="0" w:firstLine="0"/>
        <w:jc w:val="left"/>
        <w:rPr>
          <w:rFonts w:ascii="Symbola"/>
          <w:sz w:val="17"/>
        </w:rPr>
      </w:pPr>
      <w:r>
        <w:rPr>
          <w:rFonts w:ascii="Symbola"/>
          <w:w w:val="115"/>
          <w:sz w:val="17"/>
        </w:rPr>
        <w:t>2</w:t>
      </w:r>
    </w:p>
    <w:p>
      <w:pPr>
        <w:pStyle w:val="BodyText"/>
        <w:spacing w:before="9"/>
        <w:rPr>
          <w:rFonts w:ascii="Symbola"/>
          <w:sz w:val="26"/>
        </w:rPr>
      </w:pPr>
      <w:r>
        <w:rPr/>
        <w:br w:type="column"/>
      </w:r>
      <w:r>
        <w:rPr>
          <w:rFonts w:ascii="Symbola"/>
          <w:sz w:val="26"/>
        </w:rPr>
      </w:r>
    </w:p>
    <w:p>
      <w:pPr>
        <w:pStyle w:val="BodyText"/>
        <w:spacing w:before="1"/>
        <w:ind w:left="570"/>
      </w:pPr>
      <w:r>
        <w:rPr>
          <w:spacing w:val="9"/>
        </w:rPr>
        <w:t>··································</w:t>
      </w:r>
      <w:r>
        <w:rPr>
          <w:spacing w:val="19"/>
        </w:rPr>
        <w:t> </w:t>
      </w:r>
      <w:r>
        <w:rPr/>
        <w:t>(3.7)</w:t>
      </w:r>
    </w:p>
    <w:p>
      <w:pPr>
        <w:pStyle w:val="BodyText"/>
        <w:rPr>
          <w:sz w:val="26"/>
        </w:rPr>
      </w:pPr>
    </w:p>
    <w:p>
      <w:pPr>
        <w:pStyle w:val="BodyText"/>
        <w:spacing w:before="178"/>
        <w:ind w:left="570"/>
      </w:pPr>
      <w:r>
        <w:rPr>
          <w:spacing w:val="9"/>
        </w:rPr>
        <w:t>··································</w:t>
      </w:r>
      <w:r>
        <w:rPr>
          <w:spacing w:val="19"/>
        </w:rPr>
        <w:t> </w:t>
      </w:r>
      <w:r>
        <w:rPr/>
        <w:t>(3.8)</w:t>
      </w:r>
    </w:p>
    <w:p>
      <w:pPr>
        <w:spacing w:after="0"/>
        <w:sectPr>
          <w:type w:val="continuous"/>
          <w:pgSz w:w="11910" w:h="16840"/>
          <w:pgMar w:top="1300" w:bottom="940" w:left="1500" w:right="1480"/>
          <w:cols w:num="2" w:equalWidth="0">
            <w:col w:w="4020" w:space="40"/>
            <w:col w:w="4870"/>
          </w:cols>
        </w:sectPr>
      </w:pPr>
    </w:p>
    <w:p>
      <w:pPr>
        <w:pStyle w:val="BodyText"/>
        <w:spacing w:before="9"/>
        <w:rPr>
          <w:sz w:val="16"/>
        </w:rPr>
      </w:pPr>
    </w:p>
    <w:p>
      <w:pPr>
        <w:pStyle w:val="BodyText"/>
        <w:spacing w:line="243" w:lineRule="exact" w:before="180"/>
        <w:ind w:left="2460"/>
        <w:rPr>
          <w:rFonts w:ascii="Symbola" w:hAnsi="Symbola"/>
        </w:rPr>
      </w:pPr>
      <w:r>
        <w:rPr/>
        <w:pict>
          <v:rect style="position:absolute;margin-left:253.199997pt;margin-top:16.363121pt;width:10.68pt;height:.84pt;mso-position-horizontal-relative:page;mso-position-vertical-relative:paragraph;z-index:-18524672" filled="true" fillcolor="#000000" stroked="false">
            <v:fill type="solid"/>
            <w10:wrap type="none"/>
          </v:rect>
        </w:pict>
      </w:r>
      <w:r>
        <w:rPr/>
        <w:t>where, </w:t>
      </w:r>
      <w:r>
        <w:rPr>
          <w:rFonts w:ascii="Symbola" w:hAnsi="Symbola"/>
        </w:rPr>
        <w:t>ℏ </w:t>
      </w:r>
      <w:r>
        <w:rPr/>
        <w:t>=</w:t>
      </w:r>
      <w:r>
        <w:rPr>
          <w:spacing w:val="52"/>
        </w:rPr>
        <w:t> </w:t>
      </w:r>
      <w:r>
        <w:rPr>
          <w:rFonts w:ascii="Symbola" w:hAnsi="Symbola"/>
          <w:vertAlign w:val="superscript"/>
        </w:rPr>
        <w:t>ℎ</w:t>
      </w:r>
    </w:p>
    <w:p>
      <w:pPr>
        <w:spacing w:line="137" w:lineRule="exact" w:before="0"/>
        <w:ind w:left="69" w:right="1654" w:firstLine="0"/>
        <w:jc w:val="center"/>
        <w:rPr>
          <w:rFonts w:ascii="Symbola" w:eastAsia="Symbola"/>
          <w:sz w:val="17"/>
        </w:rPr>
      </w:pPr>
      <w:r>
        <w:rPr>
          <w:rFonts w:ascii="Symbola" w:eastAsia="Symbola"/>
          <w:w w:val="115"/>
          <w:sz w:val="17"/>
        </w:rPr>
        <w:t>2𝜋</w:t>
      </w:r>
    </w:p>
    <w:p>
      <w:pPr>
        <w:pStyle w:val="BodyText"/>
        <w:spacing w:before="1"/>
        <w:rPr>
          <w:rFonts w:ascii="Symbola"/>
          <w:sz w:val="21"/>
        </w:rPr>
      </w:pPr>
    </w:p>
    <w:p>
      <w:pPr>
        <w:pStyle w:val="BodyText"/>
        <w:spacing w:line="360" w:lineRule="auto" w:before="90"/>
        <w:ind w:left="300" w:right="315"/>
        <w:jc w:val="both"/>
      </w:pPr>
      <w:r>
        <w:rPr/>
        <w:t>Two more features worth noticing in the Figure 3.6B are the fluctuations in the baseline and the baseline itself, which is not horizontal. The small fluctuations in the baseline are referred</w:t>
      </w:r>
      <w:r>
        <w:rPr>
          <w:spacing w:val="51"/>
        </w:rPr>
        <w:t> </w:t>
      </w:r>
      <w:r>
        <w:rPr/>
        <w:t>to</w:t>
      </w:r>
      <w:r>
        <w:rPr>
          <w:spacing w:val="54"/>
        </w:rPr>
        <w:t> </w:t>
      </w:r>
      <w:r>
        <w:rPr/>
        <w:t>as</w:t>
      </w:r>
      <w:r>
        <w:rPr>
          <w:spacing w:val="52"/>
        </w:rPr>
        <w:t> </w:t>
      </w:r>
      <w:r>
        <w:rPr/>
        <w:t>noise.</w:t>
      </w:r>
      <w:r>
        <w:rPr>
          <w:spacing w:val="51"/>
        </w:rPr>
        <w:t> </w:t>
      </w:r>
      <w:r>
        <w:rPr/>
        <w:t>Noise is</w:t>
      </w:r>
      <w:r>
        <w:rPr>
          <w:spacing w:val="52"/>
        </w:rPr>
        <w:t> </w:t>
      </w:r>
      <w:r>
        <w:rPr/>
        <w:t>the manifestation</w:t>
      </w:r>
      <w:r>
        <w:rPr>
          <w:spacing w:val="51"/>
        </w:rPr>
        <w:t> </w:t>
      </w:r>
      <w:r>
        <w:rPr/>
        <w:t>of</w:t>
      </w:r>
      <w:r>
        <w:rPr>
          <w:spacing w:val="51"/>
        </w:rPr>
        <w:t> </w:t>
      </w:r>
      <w:r>
        <w:rPr/>
        <w:t>the random</w:t>
      </w:r>
      <w:r>
        <w:rPr>
          <w:spacing w:val="52"/>
        </w:rPr>
        <w:t> </w:t>
      </w:r>
      <w:r>
        <w:rPr/>
        <w:t>weak</w:t>
      </w:r>
    </w:p>
    <w:p>
      <w:pPr>
        <w:spacing w:after="0" w:line="360" w:lineRule="auto"/>
        <w:jc w:val="both"/>
        <w:sectPr>
          <w:type w:val="continuous"/>
          <w:pgSz w:w="11910" w:h="16840"/>
          <w:pgMar w:top="1300" w:bottom="940" w:left="1500" w:right="1480"/>
        </w:sectPr>
      </w:pPr>
    </w:p>
    <w:p>
      <w:pPr>
        <w:pStyle w:val="BodyText"/>
        <w:spacing w:line="360" w:lineRule="auto" w:before="119"/>
        <w:ind w:left="299" w:right="317"/>
        <w:jc w:val="both"/>
      </w:pPr>
      <w:r>
        <w:rPr/>
        <w:t>signals generated by the instrument electronics. To identify the sample peaks clear of the noise, the intensity of the sample peaks has to be at least 3-4 times higher than the noise. A better signal-to-noise ratio is obtained by recorded more than one spectra and averaging; the noise being random gets cancelled out. Instrumental factors are responsible for the non-horizontal baseline observed in Figure 3.6B: The light sources used in the instruments emit radiations of different intensities at different wavelengths and usually the detector sensitivity is also wavelength-dependent. A reasonable horizontal baseline for the samples can easily be obtained by subtracting the spectrum obtained from the solvent the sample is dissolved in.</w:t>
      </w:r>
    </w:p>
    <w:p>
      <w:pPr>
        <w:pStyle w:val="BodyText"/>
        <w:spacing w:before="9"/>
        <w:rPr>
          <w:sz w:val="18"/>
        </w:rPr>
      </w:pPr>
      <w:r>
        <w:rPr/>
        <w:drawing>
          <wp:anchor distT="0" distB="0" distL="0" distR="0" allowOverlap="1" layoutInCell="1" locked="0" behindDoc="0" simplePos="0" relativeHeight="29">
            <wp:simplePos x="0" y="0"/>
            <wp:positionH relativeFrom="page">
              <wp:posOffset>1641399</wp:posOffset>
            </wp:positionH>
            <wp:positionV relativeFrom="paragraph">
              <wp:posOffset>162168</wp:posOffset>
            </wp:positionV>
            <wp:extent cx="4485202" cy="4547235"/>
            <wp:effectExtent l="0" t="0" r="0" b="0"/>
            <wp:wrapTopAndBottom/>
            <wp:docPr id="35" name="image20.png"/>
            <wp:cNvGraphicFramePr>
              <a:graphicFrameLocks noChangeAspect="1"/>
            </wp:cNvGraphicFramePr>
            <a:graphic>
              <a:graphicData uri="http://schemas.openxmlformats.org/drawingml/2006/picture">
                <pic:pic>
                  <pic:nvPicPr>
                    <pic:cNvPr id="36" name="image20.png"/>
                    <pic:cNvPicPr/>
                  </pic:nvPicPr>
                  <pic:blipFill>
                    <a:blip r:embed="rId28" cstate="print"/>
                    <a:stretch>
                      <a:fillRect/>
                    </a:stretch>
                  </pic:blipFill>
                  <pic:spPr>
                    <a:xfrm>
                      <a:off x="0" y="0"/>
                      <a:ext cx="4485202" cy="4547235"/>
                    </a:xfrm>
                    <a:prstGeom prst="rect">
                      <a:avLst/>
                    </a:prstGeom>
                  </pic:spPr>
                </pic:pic>
              </a:graphicData>
            </a:graphic>
          </wp:anchor>
        </w:drawing>
      </w:r>
    </w:p>
    <w:p>
      <w:pPr>
        <w:pStyle w:val="BodyText"/>
        <w:rPr>
          <w:sz w:val="26"/>
        </w:rPr>
      </w:pPr>
    </w:p>
    <w:p>
      <w:pPr>
        <w:spacing w:before="0"/>
        <w:ind w:left="561" w:right="0" w:firstLine="0"/>
        <w:jc w:val="left"/>
        <w:rPr>
          <w:b/>
          <w:sz w:val="16"/>
        </w:rPr>
      </w:pPr>
      <w:r>
        <w:rPr>
          <w:b/>
          <w:sz w:val="16"/>
        </w:rPr>
        <w:t>Figure 3.6 An idealized spectrum for a single wavelength transition (A) and an experimentally obtained spectrum (B)</w:t>
      </w:r>
    </w:p>
    <w:p>
      <w:pPr>
        <w:pStyle w:val="BodyText"/>
        <w:spacing w:before="10"/>
        <w:rPr>
          <w:b/>
        </w:rPr>
      </w:pPr>
    </w:p>
    <w:p>
      <w:pPr>
        <w:pStyle w:val="BodyText"/>
        <w:spacing w:line="360" w:lineRule="auto"/>
        <w:ind w:left="300" w:right="320"/>
        <w:jc w:val="both"/>
      </w:pPr>
      <w:r>
        <w:rPr/>
        <w:t>Other features of the spectroscopy and the spectra obtained will be discussed as and when they arise in the following lectures.</w:t>
      </w:r>
    </w:p>
    <w:p>
      <w:pPr>
        <w:spacing w:after="0" w:line="360" w:lineRule="auto"/>
        <w:jc w:val="both"/>
        <w:sectPr>
          <w:pgSz w:w="11910" w:h="16840"/>
          <w:pgMar w:header="722" w:footer="748" w:top="1300" w:bottom="940" w:left="1500" w:right="1480"/>
        </w:sectPr>
      </w:pPr>
    </w:p>
    <w:p>
      <w:pPr>
        <w:pStyle w:val="Heading2"/>
      </w:pPr>
      <w:r>
        <w:rPr/>
        <w:t>Lecture4 UV/Visible Absorption Spectroscopy-I</w:t>
      </w:r>
    </w:p>
    <w:p>
      <w:pPr>
        <w:pStyle w:val="BodyText"/>
        <w:spacing w:before="10"/>
        <w:rPr>
          <w:b/>
          <w:sz w:val="32"/>
        </w:rPr>
      </w:pPr>
    </w:p>
    <w:p>
      <w:pPr>
        <w:pStyle w:val="BodyText"/>
        <w:spacing w:line="360" w:lineRule="auto" w:before="1"/>
        <w:ind w:left="300" w:right="313"/>
        <w:jc w:val="both"/>
      </w:pPr>
      <w:r>
        <w:rPr/>
        <w:t>We see a lot of colorful things around us. What exactly is the color and what make the things exhibit these colors? We know that the color we see is the visible region of the electromagnetic spectrum. We also know that matter can absorb the electromagnetic radiation of different energy (or wavelengths). The region of electromagnetic energy that is not absorbed is simply reflected back or getstransmitted through the matter. The colored compounds are colored because they absorb the visible light. The color that is perceived is called the complement color to the absorbed wavelength and is represented by a color wheel (Figure</w:t>
      </w:r>
      <w:r>
        <w:rPr>
          <w:spacing w:val="-7"/>
        </w:rPr>
        <w:t> </w:t>
      </w:r>
      <w:r>
        <w:rPr/>
        <w:t>4.1).</w:t>
      </w:r>
    </w:p>
    <w:p>
      <w:pPr>
        <w:pStyle w:val="BodyText"/>
        <w:spacing w:before="9"/>
        <w:rPr>
          <w:sz w:val="18"/>
        </w:rPr>
      </w:pPr>
      <w:r>
        <w:rPr/>
        <w:drawing>
          <wp:anchor distT="0" distB="0" distL="0" distR="0" allowOverlap="1" layoutInCell="1" locked="0" behindDoc="0" simplePos="0" relativeHeight="30">
            <wp:simplePos x="0" y="0"/>
            <wp:positionH relativeFrom="page">
              <wp:posOffset>2674335</wp:posOffset>
            </wp:positionH>
            <wp:positionV relativeFrom="paragraph">
              <wp:posOffset>162207</wp:posOffset>
            </wp:positionV>
            <wp:extent cx="2377503" cy="2543937"/>
            <wp:effectExtent l="0" t="0" r="0" b="0"/>
            <wp:wrapTopAndBottom/>
            <wp:docPr id="37" name="image21.jpeg" descr="Figure 4.1.tif"/>
            <wp:cNvGraphicFramePr>
              <a:graphicFrameLocks noChangeAspect="1"/>
            </wp:cNvGraphicFramePr>
            <a:graphic>
              <a:graphicData uri="http://schemas.openxmlformats.org/drawingml/2006/picture">
                <pic:pic>
                  <pic:nvPicPr>
                    <pic:cNvPr id="38" name="image21.jpeg"/>
                    <pic:cNvPicPr/>
                  </pic:nvPicPr>
                  <pic:blipFill>
                    <a:blip r:embed="rId29" cstate="print"/>
                    <a:stretch>
                      <a:fillRect/>
                    </a:stretch>
                  </pic:blipFill>
                  <pic:spPr>
                    <a:xfrm>
                      <a:off x="0" y="0"/>
                      <a:ext cx="2377503" cy="2543937"/>
                    </a:xfrm>
                    <a:prstGeom prst="rect">
                      <a:avLst/>
                    </a:prstGeom>
                  </pic:spPr>
                </pic:pic>
              </a:graphicData>
            </a:graphic>
          </wp:anchor>
        </w:drawing>
      </w:r>
    </w:p>
    <w:p>
      <w:pPr>
        <w:pStyle w:val="BodyText"/>
        <w:rPr>
          <w:sz w:val="27"/>
        </w:rPr>
      </w:pPr>
    </w:p>
    <w:p>
      <w:pPr>
        <w:spacing w:line="362" w:lineRule="auto" w:before="0"/>
        <w:ind w:left="496" w:right="443" w:firstLine="0"/>
        <w:jc w:val="left"/>
        <w:rPr>
          <w:b/>
          <w:sz w:val="16"/>
        </w:rPr>
      </w:pPr>
      <w:r>
        <w:rPr>
          <w:b/>
          <w:sz w:val="16"/>
        </w:rPr>
        <w:t>Figure 4.1 A simplified color wheel showing complementary colors. Green is interesting as it can arise from the absorption of radiation to either end of the visible spectrum.</w:t>
      </w:r>
    </w:p>
    <w:p>
      <w:pPr>
        <w:spacing w:after="0" w:line="362" w:lineRule="auto"/>
        <w:jc w:val="left"/>
        <w:rPr>
          <w:sz w:val="16"/>
        </w:rPr>
        <w:sectPr>
          <w:pgSz w:w="11910" w:h="16840"/>
          <w:pgMar w:header="722" w:footer="748" w:top="1300" w:bottom="940" w:left="1500" w:right="1480"/>
        </w:sectPr>
      </w:pPr>
    </w:p>
    <w:p>
      <w:pPr>
        <w:pStyle w:val="BodyText"/>
        <w:spacing w:line="360" w:lineRule="auto" w:before="119"/>
        <w:ind w:left="300" w:right="314"/>
        <w:jc w:val="both"/>
      </w:pPr>
      <w:r>
        <w:rPr/>
        <w:t>Absorption of ultraviolet (UV) and visible radiation is one of the most routinely used analytical tools in life sciences research. The simplest application of UV/Visible radiation is to quantify the amount of a substance present in a solution.UV region of electromagnetic radiation encompasses the wavelengths ranging from ~10 nm – ~400 nm while visible region encompasses the wavelengths from ~400 nm – ~780 nm. For the sake of convenience in discussing the observations, UV region is loosely divided into near UV (wavelength region nearer to the visible region, λ ~ 250 nm – 400 nm), far UV region (wavelength region farther to the visible region, λ ~ 190 nm – 250 nm) and vacuum UV region (λ&lt; 190 nm). The wavelength ranges defined for these regions are not strict and people use slightly different ranges to define these regions. We shall, however, stick to the wavelengths defined here. As has been discussed in the previous lecture, the absorption of UV and visible light is through the transition of an electron in the molecule from lower to a higher energy molecular orbital. The various electronic transitions observed in organic compound are shown in Figure 4.2.</w:t>
      </w:r>
    </w:p>
    <w:p>
      <w:pPr>
        <w:pStyle w:val="BodyText"/>
        <w:spacing w:before="1"/>
        <w:rPr>
          <w:sz w:val="17"/>
        </w:rPr>
      </w:pPr>
      <w:r>
        <w:rPr/>
        <w:drawing>
          <wp:anchor distT="0" distB="0" distL="0" distR="0" allowOverlap="1" layoutInCell="1" locked="0" behindDoc="0" simplePos="0" relativeHeight="31">
            <wp:simplePos x="0" y="0"/>
            <wp:positionH relativeFrom="page">
              <wp:posOffset>1484081</wp:posOffset>
            </wp:positionH>
            <wp:positionV relativeFrom="paragraph">
              <wp:posOffset>149702</wp:posOffset>
            </wp:positionV>
            <wp:extent cx="4775787" cy="2837307"/>
            <wp:effectExtent l="0" t="0" r="0" b="0"/>
            <wp:wrapTopAndBottom/>
            <wp:docPr id="39" name="image22.png" descr="Figure 4.2.tif"/>
            <wp:cNvGraphicFramePr>
              <a:graphicFrameLocks noChangeAspect="1"/>
            </wp:cNvGraphicFramePr>
            <a:graphic>
              <a:graphicData uri="http://schemas.openxmlformats.org/drawingml/2006/picture">
                <pic:pic>
                  <pic:nvPicPr>
                    <pic:cNvPr id="40" name="image22.png"/>
                    <pic:cNvPicPr/>
                  </pic:nvPicPr>
                  <pic:blipFill>
                    <a:blip r:embed="rId30" cstate="print"/>
                    <a:stretch>
                      <a:fillRect/>
                    </a:stretch>
                  </pic:blipFill>
                  <pic:spPr>
                    <a:xfrm>
                      <a:off x="0" y="0"/>
                      <a:ext cx="4775787" cy="2837307"/>
                    </a:xfrm>
                    <a:prstGeom prst="rect">
                      <a:avLst/>
                    </a:prstGeom>
                  </pic:spPr>
                </pic:pic>
              </a:graphicData>
            </a:graphic>
          </wp:anchor>
        </w:drawing>
      </w:r>
    </w:p>
    <w:p>
      <w:pPr>
        <w:pStyle w:val="BodyText"/>
        <w:spacing w:before="8"/>
        <w:rPr>
          <w:sz w:val="25"/>
        </w:rPr>
      </w:pPr>
    </w:p>
    <w:p>
      <w:pPr>
        <w:spacing w:before="1"/>
        <w:ind w:left="866" w:right="0" w:firstLine="0"/>
        <w:jc w:val="left"/>
        <w:rPr>
          <w:b/>
          <w:sz w:val="16"/>
        </w:rPr>
      </w:pPr>
      <w:r>
        <w:rPr>
          <w:b/>
          <w:sz w:val="16"/>
        </w:rPr>
        <w:t>Figure 4.2 Schematic diagram showing energy levels of different orbitals and possible absorption transitions</w:t>
      </w:r>
    </w:p>
    <w:p>
      <w:pPr>
        <w:pStyle w:val="BodyText"/>
        <w:spacing w:before="10"/>
        <w:rPr>
          <w:b/>
        </w:rPr>
      </w:pPr>
    </w:p>
    <w:p>
      <w:pPr>
        <w:pStyle w:val="BodyText"/>
        <w:spacing w:line="360" w:lineRule="auto"/>
        <w:ind w:left="300" w:right="315"/>
        <w:jc w:val="both"/>
      </w:pPr>
      <w:r>
        <w:rPr/>
        <w:t>As shown in figure 4.2, </w:t>
      </w:r>
      <w:r>
        <w:rPr>
          <w:i/>
        </w:rPr>
        <w:t>σ → σ* </w:t>
      </w:r>
      <w:r>
        <w:rPr/>
        <w:t>transition is a high energy process and therefore lies in the vacuum UV region. Alkanes, wherein only </w:t>
      </w:r>
      <w:r>
        <w:rPr>
          <w:i/>
        </w:rPr>
        <w:t>σ → σ* </w:t>
      </w:r>
      <w:r>
        <w:rPr/>
        <w:t>transition is possible show absorption bands ~150 nm wavelength. Alkenes have</w:t>
      </w:r>
      <w:r>
        <w:rPr>
          <w:i/>
        </w:rPr>
        <w:t>π </w:t>
      </w:r>
      <w:r>
        <w:rPr/>
        <w:t>and </w:t>
      </w:r>
      <w:r>
        <w:rPr>
          <w:i/>
        </w:rPr>
        <w:t>π* </w:t>
      </w:r>
      <w:r>
        <w:rPr/>
        <w:t>orbitals and can show several  transition;  the  lowest-energy transition,  </w:t>
      </w:r>
      <w:r>
        <w:rPr>
          <w:i/>
        </w:rPr>
        <w:t>π  →  π*  </w:t>
      </w:r>
      <w:r>
        <w:rPr/>
        <w:t>gives  an  absorption band</w:t>
      </w:r>
    </w:p>
    <w:p>
      <w:pPr>
        <w:pStyle w:val="BodyText"/>
        <w:spacing w:line="360" w:lineRule="auto"/>
        <w:ind w:left="300" w:right="317"/>
        <w:jc w:val="both"/>
      </w:pPr>
      <w:r>
        <w:rPr/>
        <w:t>~170-190 nm for non-conjugated alkenes (effects of conjugation on electronic transitions are discussed  later). The presence of  nonbonding electrons in  a </w:t>
      </w:r>
      <w:r>
        <w:rPr>
          <w:spacing w:val="13"/>
        </w:rPr>
        <w:t> </w:t>
      </w:r>
      <w:r>
        <w:rPr/>
        <w:t>molecule</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7"/>
        <w:jc w:val="both"/>
      </w:pPr>
      <w:r>
        <w:rPr/>
        <w:t>further expands the number of possible transitions. The entire molecule, however, is not generally involved in the absorption of the radiation in a given wavelength range. In an aliphatic ketone, for example, the absorption band around 185 nm arises due to the </w:t>
      </w:r>
      <w:r>
        <w:rPr>
          <w:i/>
        </w:rPr>
        <w:t>π → π* </w:t>
      </w:r>
      <w:r>
        <w:rPr/>
        <w:t>transition in the carbonyl group. Atoms that comprise the molecular orbitals involved in the electronic transitions constitute the molecular moiety that is directly involved in the transition. Such a group of atoms is called a </w:t>
      </w:r>
      <w:r>
        <w:rPr>
          <w:b/>
        </w:rPr>
        <w:t>chromophore</w:t>
      </w:r>
      <w:r>
        <w:rPr/>
        <w:t>. A structural modification in a chromophore is generally accompanied by changes in the absorption properties.</w:t>
      </w:r>
    </w:p>
    <w:p>
      <w:pPr>
        <w:pStyle w:val="Heading4"/>
        <w:spacing w:before="205"/>
        <w:jc w:val="left"/>
      </w:pPr>
      <w:r>
        <w:rPr/>
        <w:t>Instrumentation:</w:t>
      </w:r>
    </w:p>
    <w:p>
      <w:pPr>
        <w:pStyle w:val="BodyText"/>
        <w:rPr>
          <w:b/>
          <w:sz w:val="29"/>
        </w:rPr>
      </w:pPr>
    </w:p>
    <w:p>
      <w:pPr>
        <w:pStyle w:val="BodyText"/>
        <w:spacing w:line="360" w:lineRule="auto"/>
        <w:ind w:left="300" w:right="316"/>
        <w:jc w:val="both"/>
      </w:pPr>
      <w:r>
        <w:rPr/>
        <w:t>Figure 4.3A shows a schematic diagram of a single-beam spectrophotometer. The light enters the instrument through an entrance slit, is collimated and focused on to the dispersing element, typically a diffraction grating. The light of desired wavelength is selected simply by rotating the monochromator and impinged on the sample. The intensity of the radiation transmitted through the sample is measured and converted to absorbance or transmittance (discussed later). Double beam spectrophotometers overcome certain limitations of the single beam spectrophotometers and are therefore preferred over them. A double beam spectrophotometer has two light beams, one of which passes through the sample while other passes through a reference cell (Figure 4.3B). This allows more reproducible measurements as any fluctuation in the light source or instrument electronics appears in both reference and the sample and therefore can easily be removed from the sample spectrum by subtracting the reference spectrum. Modern instruments can perform this subtraction automatically. The most commonly used detectors in the UV/Visible spectrophotometers are the photomultiplier tubes (PMT). Modern instruments also use photodiodes as the detection systems. These diodes are inexpensive and can be arranged in an array so that each diode absorbs a narrow band of the spectrum. Simultaneous recording at multiple wavelengths allows recording of the entire spectrum at once. The monochromator in these spectrophotometers is placed after the sample so that the sample is exposed to the entire spectrum of the incident radiation and the transmitted radiation is dispersed into its</w:t>
      </w:r>
      <w:r>
        <w:rPr>
          <w:spacing w:val="-1"/>
        </w:rPr>
        <w:t> </w:t>
      </w:r>
      <w:r>
        <w:rPr/>
        <w:t>components.</w:t>
      </w:r>
    </w:p>
    <w:p>
      <w:pPr>
        <w:spacing w:after="0" w:line="360" w:lineRule="auto"/>
        <w:jc w:val="both"/>
        <w:sectPr>
          <w:pgSz w:w="11910" w:h="16840"/>
          <w:pgMar w:header="722" w:footer="748" w:top="1300" w:bottom="940" w:left="1500" w:right="1480"/>
        </w:sectPr>
      </w:pPr>
    </w:p>
    <w:p>
      <w:pPr>
        <w:pStyle w:val="BodyText"/>
        <w:spacing w:before="11"/>
        <w:rPr>
          <w:sz w:val="16"/>
        </w:rPr>
      </w:pPr>
    </w:p>
    <w:p>
      <w:pPr>
        <w:pStyle w:val="BodyText"/>
        <w:ind w:left="747"/>
        <w:rPr>
          <w:sz w:val="20"/>
        </w:rPr>
      </w:pPr>
      <w:r>
        <w:rPr>
          <w:sz w:val="20"/>
        </w:rPr>
        <w:drawing>
          <wp:inline distT="0" distB="0" distL="0" distR="0">
            <wp:extent cx="4845752" cy="4590288"/>
            <wp:effectExtent l="0" t="0" r="0" b="0"/>
            <wp:docPr id="41" name="image23.jpeg" descr="Figure 4.3.tif"/>
            <wp:cNvGraphicFramePr>
              <a:graphicFrameLocks noChangeAspect="1"/>
            </wp:cNvGraphicFramePr>
            <a:graphic>
              <a:graphicData uri="http://schemas.openxmlformats.org/drawingml/2006/picture">
                <pic:pic>
                  <pic:nvPicPr>
                    <pic:cNvPr id="42" name="image23.jpeg"/>
                    <pic:cNvPicPr/>
                  </pic:nvPicPr>
                  <pic:blipFill>
                    <a:blip r:embed="rId31" cstate="print"/>
                    <a:stretch>
                      <a:fillRect/>
                    </a:stretch>
                  </pic:blipFill>
                  <pic:spPr>
                    <a:xfrm>
                      <a:off x="0" y="0"/>
                      <a:ext cx="4845752" cy="4590288"/>
                    </a:xfrm>
                    <a:prstGeom prst="rect">
                      <a:avLst/>
                    </a:prstGeom>
                  </pic:spPr>
                </pic:pic>
              </a:graphicData>
            </a:graphic>
          </wp:inline>
        </w:drawing>
      </w:r>
      <w:r>
        <w:rPr>
          <w:sz w:val="20"/>
        </w:rPr>
      </w:r>
    </w:p>
    <w:p>
      <w:pPr>
        <w:pStyle w:val="BodyText"/>
        <w:spacing w:before="5"/>
      </w:pPr>
    </w:p>
    <w:p>
      <w:pPr>
        <w:spacing w:before="94"/>
        <w:ind w:left="292" w:right="120" w:firstLine="0"/>
        <w:jc w:val="center"/>
        <w:rPr>
          <w:b/>
          <w:sz w:val="16"/>
        </w:rPr>
      </w:pPr>
      <w:r>
        <w:rPr>
          <w:b/>
          <w:sz w:val="16"/>
        </w:rPr>
        <w:t>Figure 4.3 Schematic diagram showing a single beam (A) and a double beam (B) spectrophotometer</w:t>
      </w:r>
    </w:p>
    <w:p>
      <w:pPr>
        <w:pStyle w:val="BodyText"/>
        <w:rPr>
          <w:b/>
          <w:sz w:val="18"/>
        </w:rPr>
      </w:pPr>
    </w:p>
    <w:p>
      <w:pPr>
        <w:pStyle w:val="BodyText"/>
        <w:rPr>
          <w:b/>
          <w:sz w:val="18"/>
        </w:rPr>
      </w:pPr>
    </w:p>
    <w:p>
      <w:pPr>
        <w:pStyle w:val="BodyText"/>
        <w:rPr>
          <w:b/>
          <w:sz w:val="18"/>
        </w:rPr>
      </w:pPr>
    </w:p>
    <w:p>
      <w:pPr>
        <w:pStyle w:val="BodyText"/>
        <w:spacing w:before="9"/>
        <w:rPr>
          <w:b/>
        </w:rPr>
      </w:pPr>
    </w:p>
    <w:p>
      <w:pPr>
        <w:pStyle w:val="Heading4"/>
      </w:pPr>
      <w:r>
        <w:rPr/>
        <w:t>Beer-Lambert Law</w:t>
      </w:r>
    </w:p>
    <w:p>
      <w:pPr>
        <w:pStyle w:val="BodyText"/>
        <w:rPr>
          <w:b/>
          <w:sz w:val="29"/>
        </w:rPr>
      </w:pPr>
    </w:p>
    <w:p>
      <w:pPr>
        <w:pStyle w:val="BodyText"/>
        <w:spacing w:line="360" w:lineRule="auto"/>
        <w:ind w:left="299" w:right="315"/>
        <w:jc w:val="both"/>
      </w:pPr>
      <w:r>
        <w:rPr/>
        <w:t>It is quite intuitive that a higher concentration of the absorbing species in a sample would lead to higher absorption of the light. Furthermore, the higher thickness of the sample should result in higher absorption. Consider a cell (also called cuvette) of length, </w:t>
      </w:r>
      <w:r>
        <w:rPr>
          <w:i/>
        </w:rPr>
        <w:t>l</w:t>
      </w:r>
      <w:r>
        <w:rPr/>
        <w:t>, containing a solution of an absorbing molecule. The absorbing species in the sample can be represented by discs of cross-sectional area, </w:t>
      </w:r>
      <w:r>
        <w:rPr>
          <w:i/>
        </w:rPr>
        <w:t>σ</w:t>
      </w:r>
      <w:r>
        <w:rPr/>
        <w:t>. Now, let us consider a slab of infinitesimal thickness, </w:t>
      </w:r>
      <w:r>
        <w:rPr>
          <w:i/>
        </w:rPr>
        <w:t>dx </w:t>
      </w:r>
      <w:r>
        <w:rPr/>
        <w:t>and area, A (Figure 4.4). If an incident radiation of the resonance frequency (the frequency that causes maximum transition) having intensity </w:t>
      </w:r>
      <w:r>
        <w:rPr>
          <w:i/>
        </w:rPr>
        <w:t>I</w:t>
      </w:r>
      <w:r>
        <w:rPr>
          <w:i/>
          <w:vertAlign w:val="subscript"/>
        </w:rPr>
        <w:t>o</w:t>
      </w:r>
      <w:r>
        <w:rPr>
          <w:i/>
          <w:vertAlign w:val="baseline"/>
        </w:rPr>
        <w:t> </w:t>
      </w:r>
      <w:r>
        <w:rPr>
          <w:vertAlign w:val="baseline"/>
        </w:rPr>
        <w:t>enters the sample cell, its intensity decreases as it penetrates the sample. Let us suppose that the intensity of the radiation before entering the infinitesimal slab is </w:t>
      </w:r>
      <w:r>
        <w:rPr>
          <w:i/>
          <w:vertAlign w:val="baseline"/>
        </w:rPr>
        <w:t>I</w:t>
      </w:r>
      <w:r>
        <w:rPr>
          <w:i/>
          <w:vertAlign w:val="subscript"/>
        </w:rPr>
        <w:t>x</w:t>
      </w:r>
      <w:r>
        <w:rPr>
          <w:vertAlign w:val="baseline"/>
        </w:rPr>
        <w:t>.</w:t>
      </w:r>
    </w:p>
    <w:p>
      <w:pPr>
        <w:spacing w:after="0" w:line="360" w:lineRule="auto"/>
        <w:jc w:val="both"/>
        <w:sectPr>
          <w:pgSz w:w="11910" w:h="16840"/>
          <w:pgMar w:header="722" w:footer="748" w:top="1300" w:bottom="940" w:left="1500" w:right="1480"/>
        </w:sectPr>
      </w:pPr>
    </w:p>
    <w:p>
      <w:pPr>
        <w:pStyle w:val="BodyText"/>
        <w:spacing w:before="4"/>
        <w:rPr>
          <w:sz w:val="15"/>
        </w:rPr>
      </w:pPr>
    </w:p>
    <w:p>
      <w:pPr>
        <w:pStyle w:val="BodyText"/>
        <w:ind w:left="618"/>
        <w:rPr>
          <w:sz w:val="20"/>
        </w:rPr>
      </w:pPr>
      <w:r>
        <w:rPr>
          <w:sz w:val="20"/>
        </w:rPr>
        <w:drawing>
          <wp:inline distT="0" distB="0" distL="0" distR="0">
            <wp:extent cx="5005986" cy="3291840"/>
            <wp:effectExtent l="0" t="0" r="0" b="0"/>
            <wp:docPr id="43" name="image24.jpeg" descr="Figure 4.4.TIF"/>
            <wp:cNvGraphicFramePr>
              <a:graphicFrameLocks noChangeAspect="1"/>
            </wp:cNvGraphicFramePr>
            <a:graphic>
              <a:graphicData uri="http://schemas.openxmlformats.org/drawingml/2006/picture">
                <pic:pic>
                  <pic:nvPicPr>
                    <pic:cNvPr id="44" name="image24.jpeg"/>
                    <pic:cNvPicPr/>
                  </pic:nvPicPr>
                  <pic:blipFill>
                    <a:blip r:embed="rId32" cstate="print"/>
                    <a:stretch>
                      <a:fillRect/>
                    </a:stretch>
                  </pic:blipFill>
                  <pic:spPr>
                    <a:xfrm>
                      <a:off x="0" y="0"/>
                      <a:ext cx="5005986" cy="3291840"/>
                    </a:xfrm>
                    <a:prstGeom prst="rect">
                      <a:avLst/>
                    </a:prstGeom>
                  </pic:spPr>
                </pic:pic>
              </a:graphicData>
            </a:graphic>
          </wp:inline>
        </w:drawing>
      </w:r>
      <w:r>
        <w:rPr>
          <w:sz w:val="20"/>
        </w:rPr>
      </w:r>
    </w:p>
    <w:p>
      <w:pPr>
        <w:pStyle w:val="BodyText"/>
        <w:spacing w:before="1"/>
        <w:rPr>
          <w:sz w:val="25"/>
        </w:rPr>
      </w:pPr>
    </w:p>
    <w:p>
      <w:pPr>
        <w:spacing w:line="362" w:lineRule="auto" w:before="94"/>
        <w:ind w:left="496" w:right="400" w:firstLine="0"/>
        <w:jc w:val="left"/>
        <w:rPr>
          <w:b/>
          <w:sz w:val="16"/>
        </w:rPr>
      </w:pPr>
      <w:r>
        <w:rPr>
          <w:b/>
          <w:sz w:val="16"/>
        </w:rPr>
        <w:t>Figure 4.4A diagrammatic representation of light absorption by sample molecules in an infinitesimal thin slab within the sample</w:t>
      </w:r>
    </w:p>
    <w:p>
      <w:pPr>
        <w:pStyle w:val="BodyText"/>
        <w:rPr>
          <w:b/>
          <w:sz w:val="18"/>
        </w:rPr>
      </w:pPr>
    </w:p>
    <w:p>
      <w:pPr>
        <w:pStyle w:val="BodyText"/>
        <w:rPr>
          <w:b/>
          <w:sz w:val="18"/>
        </w:rPr>
      </w:pPr>
    </w:p>
    <w:p>
      <w:pPr>
        <w:pStyle w:val="BodyText"/>
        <w:rPr>
          <w:b/>
          <w:sz w:val="18"/>
        </w:rPr>
      </w:pPr>
    </w:p>
    <w:p>
      <w:pPr>
        <w:pStyle w:val="BodyText"/>
        <w:spacing w:before="2"/>
        <w:rPr>
          <w:b/>
          <w:sz w:val="22"/>
        </w:rPr>
      </w:pPr>
    </w:p>
    <w:p>
      <w:pPr>
        <w:pStyle w:val="BodyText"/>
        <w:spacing w:line="243" w:lineRule="exact" w:before="1"/>
        <w:ind w:left="300"/>
      </w:pPr>
      <w:r>
        <w:rPr/>
        <w:pict>
          <v:rect style="position:absolute;margin-left:345.600006pt;margin-top:7.413137pt;width:42.24pt;height:.84pt;mso-position-horizontal-relative:page;mso-position-vertical-relative:paragraph;z-index:-18522624" filled="true" fillcolor="#000000" stroked="false">
            <v:fill type="solid"/>
            <w10:wrap type="none"/>
          </v:rect>
        </w:pict>
      </w:r>
      <w:r>
        <w:rPr/>
        <w:pict>
          <v:shape style="position:absolute;margin-left:370.679993pt;margin-top:8.119778pt;width:4.150pt;height:8.2pt;mso-position-horizontal-relative:page;mso-position-vertical-relative:paragraph;z-index:-18519552" type="#_x0000_t202" filled="false" stroked="false">
            <v:textbox inset="0,0,0,0">
              <w:txbxContent>
                <w:p>
                  <w:pPr>
                    <w:spacing w:before="22"/>
                    <w:ind w:left="0" w:right="0" w:firstLine="0"/>
                    <w:jc w:val="left"/>
                    <w:rPr>
                      <w:rFonts w:ascii="Symbola"/>
                      <w:sz w:val="14"/>
                    </w:rPr>
                  </w:pPr>
                  <w:r>
                    <w:rPr>
                      <w:rFonts w:ascii="Symbola"/>
                      <w:w w:val="118"/>
                      <w:sz w:val="14"/>
                    </w:rPr>
                    <w:t>3</w:t>
                  </w:r>
                </w:p>
              </w:txbxContent>
            </v:textbox>
            <w10:wrap type="none"/>
          </v:shape>
        </w:pict>
      </w:r>
      <w:r>
        <w:rPr>
          <w:spacing w:val="-4"/>
          <w:w w:val="99"/>
        </w:rPr>
        <w:t>I</w:t>
      </w:r>
      <w:r>
        <w:rPr>
          <w:w w:val="99"/>
        </w:rPr>
        <w:t>f</w:t>
      </w:r>
      <w:r>
        <w:rPr>
          <w:spacing w:val="11"/>
          <w:w w:val="99"/>
        </w:rPr>
        <w:t> </w:t>
      </w:r>
      <w:r>
        <w:rPr>
          <w:w w:val="99"/>
        </w:rPr>
        <w:t>t</w:t>
      </w:r>
      <w:r>
        <w:rPr>
          <w:spacing w:val="2"/>
          <w:w w:val="99"/>
        </w:rPr>
        <w:t>h</w:t>
      </w:r>
      <w:r>
        <w:rPr>
          <w:w w:val="99"/>
        </w:rPr>
        <w:t>e</w:t>
      </w:r>
      <w:r>
        <w:rPr>
          <w:spacing w:val="11"/>
          <w:w w:val="99"/>
        </w:rPr>
        <w:t> </w:t>
      </w:r>
      <w:r>
        <w:rPr>
          <w:spacing w:val="-1"/>
          <w:w w:val="99"/>
        </w:rPr>
        <w:t>c</w:t>
      </w:r>
      <w:r>
        <w:rPr>
          <w:w w:val="99"/>
        </w:rPr>
        <w:t>on</w:t>
      </w:r>
      <w:r>
        <w:rPr>
          <w:spacing w:val="-1"/>
          <w:w w:val="99"/>
        </w:rPr>
        <w:t>ce</w:t>
      </w:r>
      <w:r>
        <w:rPr>
          <w:w w:val="99"/>
        </w:rPr>
        <w:t>n</w:t>
      </w:r>
      <w:r>
        <w:rPr>
          <w:spacing w:val="2"/>
          <w:w w:val="99"/>
        </w:rPr>
        <w:t>t</w:t>
      </w:r>
      <w:r>
        <w:rPr>
          <w:spacing w:val="-1"/>
          <w:w w:val="99"/>
        </w:rPr>
        <w:t>ra</w:t>
      </w:r>
      <w:r>
        <w:rPr>
          <w:w w:val="99"/>
        </w:rPr>
        <w:t>tion</w:t>
      </w:r>
      <w:r>
        <w:rPr>
          <w:spacing w:val="12"/>
          <w:w w:val="99"/>
        </w:rPr>
        <w:t> </w:t>
      </w:r>
      <w:r>
        <w:rPr>
          <w:w w:val="99"/>
        </w:rPr>
        <w:t>of</w:t>
      </w:r>
      <w:r>
        <w:rPr>
          <w:spacing w:val="11"/>
          <w:w w:val="99"/>
        </w:rPr>
        <w:t> </w:t>
      </w:r>
      <w:r>
        <w:rPr>
          <w:w w:val="99"/>
        </w:rPr>
        <w:t>the</w:t>
      </w:r>
      <w:r>
        <w:rPr>
          <w:spacing w:val="11"/>
          <w:w w:val="99"/>
        </w:rPr>
        <w:t> </w:t>
      </w:r>
      <w:r>
        <w:rPr>
          <w:spacing w:val="-1"/>
          <w:w w:val="99"/>
        </w:rPr>
        <w:t>a</w:t>
      </w:r>
      <w:r>
        <w:rPr>
          <w:w w:val="99"/>
        </w:rPr>
        <w:t>bs</w:t>
      </w:r>
      <w:r>
        <w:rPr>
          <w:w w:val="99"/>
        </w:rPr>
        <w:t>o</w:t>
      </w:r>
      <w:r>
        <w:rPr>
          <w:spacing w:val="-1"/>
          <w:w w:val="99"/>
        </w:rPr>
        <w:t>r</w:t>
      </w:r>
      <w:r>
        <w:rPr>
          <w:w w:val="99"/>
        </w:rPr>
        <w:t>bi</w:t>
      </w:r>
      <w:r>
        <w:rPr>
          <w:spacing w:val="2"/>
          <w:w w:val="99"/>
        </w:rPr>
        <w:t>n</w:t>
      </w:r>
      <w:r>
        <w:rPr>
          <w:w w:val="99"/>
        </w:rPr>
        <w:t>g</w:t>
      </w:r>
      <w:r>
        <w:rPr>
          <w:spacing w:val="9"/>
          <w:w w:val="99"/>
        </w:rPr>
        <w:t> </w:t>
      </w:r>
      <w:r>
        <w:rPr>
          <w:w w:val="99"/>
        </w:rPr>
        <w:t>mol</w:t>
      </w:r>
      <w:r>
        <w:rPr>
          <w:spacing w:val="-1"/>
          <w:w w:val="99"/>
        </w:rPr>
        <w:t>ec</w:t>
      </w:r>
      <w:r>
        <w:rPr>
          <w:w w:val="99"/>
        </w:rPr>
        <w:t>ul</w:t>
      </w:r>
      <w:r>
        <w:rPr>
          <w:spacing w:val="-1"/>
          <w:w w:val="99"/>
        </w:rPr>
        <w:t>e</w:t>
      </w:r>
      <w:r>
        <w:rPr>
          <w:w w:val="99"/>
        </w:rPr>
        <w:t>s</w:t>
      </w:r>
      <w:r>
        <w:rPr>
          <w:spacing w:val="12"/>
        </w:rPr>
        <w:t> </w:t>
      </w:r>
      <w:r>
        <w:rPr/>
        <w:t>=</w:t>
      </w:r>
      <w:r>
        <w:rPr>
          <w:spacing w:val="13"/>
        </w:rPr>
        <w:t> </w:t>
      </w:r>
      <w:r>
        <w:rPr>
          <w:rFonts w:ascii="Symbola" w:eastAsia="Symbola"/>
          <w:w w:val="101"/>
        </w:rPr>
        <w:t>𝑛</w:t>
      </w:r>
      <w:r>
        <w:rPr>
          <w:rFonts w:ascii="Symbola" w:eastAsia="Symbola"/>
        </w:rPr>
        <w:t> </w:t>
      </w:r>
      <w:r>
        <w:rPr>
          <w:rFonts w:ascii="Symbola" w:eastAsia="Symbola"/>
          <w:spacing w:val="-25"/>
        </w:rPr>
        <w:t> </w:t>
      </w:r>
      <w:r>
        <w:rPr>
          <w:rFonts w:ascii="Symbola" w:eastAsia="Symbola"/>
          <w:spacing w:val="-1"/>
          <w:w w:val="148"/>
          <w:vertAlign w:val="superscript"/>
        </w:rPr>
        <w:t>𝑚</w:t>
      </w:r>
      <w:r>
        <w:rPr>
          <w:rFonts w:ascii="Symbola" w:eastAsia="Symbola"/>
          <w:w w:val="93"/>
          <w:vertAlign w:val="superscript"/>
        </w:rPr>
        <w:t>𝑜</w:t>
      </w:r>
      <w:r>
        <w:rPr>
          <w:rFonts w:ascii="Symbola" w:eastAsia="Symbola"/>
          <w:spacing w:val="-1"/>
          <w:w w:val="56"/>
          <w:vertAlign w:val="superscript"/>
        </w:rPr>
        <w:t>𝑙</w:t>
      </w:r>
      <w:r>
        <w:rPr>
          <w:rFonts w:ascii="Symbola" w:eastAsia="Symbola"/>
          <w:spacing w:val="1"/>
          <w:w w:val="86"/>
          <w:vertAlign w:val="superscript"/>
        </w:rPr>
        <w:t>𝑒</w:t>
      </w:r>
      <w:r>
        <w:rPr>
          <w:rFonts w:ascii="Symbola" w:eastAsia="Symbola"/>
          <w:w w:val="80"/>
          <w:vertAlign w:val="superscript"/>
        </w:rPr>
        <w:t>𝑐</w:t>
      </w:r>
      <w:r>
        <w:rPr>
          <w:rFonts w:ascii="Symbola" w:eastAsia="Symbola"/>
          <w:spacing w:val="-1"/>
          <w:w w:val="103"/>
          <w:vertAlign w:val="superscript"/>
        </w:rPr>
        <w:t>𝑢</w:t>
      </w:r>
      <w:r>
        <w:rPr>
          <w:rFonts w:ascii="Symbola" w:eastAsia="Symbola"/>
          <w:spacing w:val="-1"/>
          <w:w w:val="56"/>
          <w:vertAlign w:val="superscript"/>
        </w:rPr>
        <w:t>𝑙</w:t>
      </w:r>
      <w:r>
        <w:rPr>
          <w:rFonts w:ascii="Symbola" w:eastAsia="Symbola"/>
          <w:spacing w:val="1"/>
          <w:w w:val="86"/>
          <w:vertAlign w:val="superscript"/>
        </w:rPr>
        <w:t>𝑒</w:t>
      </w:r>
      <w:r>
        <w:rPr>
          <w:rFonts w:ascii="Symbola" w:eastAsia="Symbola"/>
          <w:spacing w:val="1"/>
          <w:w w:val="77"/>
          <w:vertAlign w:val="superscript"/>
        </w:rPr>
        <w:t>𝑠</w:t>
      </w:r>
      <w:r>
        <w:rPr>
          <w:vertAlign w:val="baseline"/>
        </w:rPr>
        <w:t>,</w:t>
      </w:r>
      <w:r>
        <w:rPr>
          <w:spacing w:val="12"/>
          <w:vertAlign w:val="baseline"/>
        </w:rPr>
        <w:t> </w:t>
      </w:r>
      <w:r>
        <w:rPr>
          <w:vertAlign w:val="baseline"/>
        </w:rPr>
        <w:t>the</w:t>
      </w:r>
      <w:r>
        <w:rPr>
          <w:spacing w:val="11"/>
          <w:vertAlign w:val="baseline"/>
        </w:rPr>
        <w:t> </w:t>
      </w:r>
      <w:r>
        <w:rPr>
          <w:spacing w:val="-1"/>
          <w:vertAlign w:val="baseline"/>
        </w:rPr>
        <w:t>frac</w:t>
      </w:r>
      <w:r>
        <w:rPr>
          <w:vertAlign w:val="baseline"/>
        </w:rPr>
        <w:t>tion</w:t>
      </w:r>
      <w:r>
        <w:rPr>
          <w:spacing w:val="12"/>
          <w:vertAlign w:val="baseline"/>
        </w:rPr>
        <w:t> </w:t>
      </w:r>
      <w:r>
        <w:rPr>
          <w:vertAlign w:val="baseline"/>
        </w:rPr>
        <w:t>of</w:t>
      </w:r>
      <w:r>
        <w:rPr>
          <w:spacing w:val="11"/>
          <w:vertAlign w:val="baseline"/>
        </w:rPr>
        <w:t> </w:t>
      </w:r>
      <w:r>
        <w:rPr>
          <w:vertAlign w:val="baseline"/>
        </w:rPr>
        <w:t>the</w:t>
      </w:r>
      <w:r>
        <w:rPr>
          <w:spacing w:val="11"/>
          <w:vertAlign w:val="baseline"/>
        </w:rPr>
        <w:t> </w:t>
      </w:r>
      <w:r>
        <w:rPr>
          <w:spacing w:val="-1"/>
          <w:vertAlign w:val="baseline"/>
        </w:rPr>
        <w:t>ar</w:t>
      </w:r>
      <w:r>
        <w:rPr>
          <w:spacing w:val="1"/>
          <w:vertAlign w:val="baseline"/>
        </w:rPr>
        <w:t>e</w:t>
      </w:r>
      <w:r>
        <w:rPr>
          <w:vertAlign w:val="baseline"/>
        </w:rPr>
        <w:t>a</w:t>
      </w:r>
    </w:p>
    <w:p>
      <w:pPr>
        <w:spacing w:line="137" w:lineRule="exact" w:before="0"/>
        <w:ind w:left="3269" w:right="617" w:firstLine="0"/>
        <w:jc w:val="center"/>
        <w:rPr>
          <w:rFonts w:ascii="Symbola" w:eastAsia="Symbola"/>
          <w:sz w:val="17"/>
        </w:rPr>
      </w:pPr>
      <w:r>
        <w:rPr>
          <w:rFonts w:ascii="Symbola" w:eastAsia="Symbola"/>
          <w:w w:val="130"/>
          <w:sz w:val="17"/>
        </w:rPr>
        <w:t>𝑐𝑚</w:t>
      </w:r>
    </w:p>
    <w:p>
      <w:pPr>
        <w:spacing w:line="231" w:lineRule="exact" w:before="124"/>
        <w:ind w:left="300" w:right="0" w:firstLine="0"/>
        <w:jc w:val="left"/>
        <w:rPr>
          <w:rFonts w:ascii="Symbola" w:hAnsi="Symbola" w:eastAsia="Symbola"/>
          <w:sz w:val="18"/>
        </w:rPr>
      </w:pPr>
      <w:r>
        <w:rPr/>
        <w:pict>
          <v:rect style="position:absolute;margin-left:285.119995pt;margin-top:16.025537pt;width:94.8pt;height:.84pt;mso-position-horizontal-relative:page;mso-position-vertical-relative:paragraph;z-index:15745536" filled="true" fillcolor="#000000" stroked="false">
            <v:fill type="solid"/>
            <w10:wrap type="none"/>
          </v:rect>
        </w:pict>
      </w:r>
      <w:r>
        <w:rPr/>
        <w:pict>
          <v:rect style="position:absolute;margin-left:392.76001pt;margin-top:16.025537pt;width:57.36pt;height:.84pt;mso-position-horizontal-relative:page;mso-position-vertical-relative:paragraph;z-index:15746048" filled="true" fillcolor="#000000" stroked="false">
            <v:fill type="solid"/>
            <w10:wrap type="none"/>
          </v:rect>
        </w:pict>
      </w:r>
      <w:r>
        <w:rPr>
          <w:sz w:val="24"/>
        </w:rPr>
        <w:t>o</w:t>
      </w:r>
      <w:r>
        <w:rPr>
          <w:spacing w:val="-1"/>
          <w:sz w:val="24"/>
        </w:rPr>
        <w:t>cc</w:t>
      </w:r>
      <w:r>
        <w:rPr>
          <w:sz w:val="24"/>
        </w:rPr>
        <w:t>upi</w:t>
      </w:r>
      <w:r>
        <w:rPr>
          <w:spacing w:val="-1"/>
          <w:sz w:val="24"/>
        </w:rPr>
        <w:t>e</w:t>
      </w:r>
      <w:r>
        <w:rPr>
          <w:sz w:val="24"/>
        </w:rPr>
        <w:t>d </w:t>
      </w:r>
      <w:r>
        <w:rPr>
          <w:spacing w:val="4"/>
          <w:sz w:val="24"/>
        </w:rPr>
        <w:t>b</w:t>
      </w:r>
      <w:r>
        <w:rPr>
          <w:sz w:val="24"/>
        </w:rPr>
        <w:t>y</w:t>
      </w:r>
      <w:r>
        <w:rPr>
          <w:spacing w:val="-5"/>
          <w:sz w:val="24"/>
        </w:rPr>
        <w:t> </w:t>
      </w:r>
      <w:r>
        <w:rPr>
          <w:sz w:val="24"/>
        </w:rPr>
        <w:t>the</w:t>
      </w:r>
      <w:r>
        <w:rPr>
          <w:spacing w:val="-1"/>
          <w:sz w:val="24"/>
        </w:rPr>
        <w:t> </w:t>
      </w:r>
      <w:r>
        <w:rPr>
          <w:sz w:val="24"/>
        </w:rPr>
        <w:t>mol</w:t>
      </w:r>
      <w:r>
        <w:rPr>
          <w:spacing w:val="1"/>
          <w:sz w:val="24"/>
        </w:rPr>
        <w:t>e</w:t>
      </w:r>
      <w:r>
        <w:rPr>
          <w:spacing w:val="-1"/>
          <w:sz w:val="24"/>
        </w:rPr>
        <w:t>c</w:t>
      </w:r>
      <w:r>
        <w:rPr>
          <w:sz w:val="24"/>
        </w:rPr>
        <w:t>ul</w:t>
      </w:r>
      <w:r>
        <w:rPr>
          <w:spacing w:val="-1"/>
          <w:sz w:val="24"/>
        </w:rPr>
        <w:t>e</w:t>
      </w:r>
      <w:r>
        <w:rPr>
          <w:w w:val="99"/>
          <w:sz w:val="24"/>
        </w:rPr>
        <w:t>s</w:t>
      </w:r>
      <w:r>
        <w:rPr>
          <w:sz w:val="24"/>
        </w:rPr>
        <w:t> in the</w:t>
      </w:r>
      <w:r>
        <w:rPr>
          <w:spacing w:val="-1"/>
          <w:sz w:val="24"/>
        </w:rPr>
        <w:t> </w:t>
      </w:r>
      <w:r>
        <w:rPr>
          <w:w w:val="99"/>
          <w:sz w:val="24"/>
        </w:rPr>
        <w:t>s</w:t>
      </w:r>
      <w:r>
        <w:rPr>
          <w:sz w:val="24"/>
        </w:rPr>
        <w:t>l</w:t>
      </w:r>
      <w:r>
        <w:rPr>
          <w:spacing w:val="-1"/>
          <w:sz w:val="24"/>
        </w:rPr>
        <w:t>a</w:t>
      </w:r>
      <w:r>
        <w:rPr>
          <w:sz w:val="24"/>
        </w:rPr>
        <w:t>b </w:t>
      </w:r>
      <w:r>
        <w:rPr>
          <w:rFonts w:ascii="Symbola" w:hAnsi="Symbola" w:eastAsia="Symbola"/>
          <w:w w:val="96"/>
          <w:sz w:val="24"/>
        </w:rPr>
        <w:t>=</w:t>
      </w:r>
      <w:r>
        <w:rPr>
          <w:rFonts w:ascii="Symbola" w:hAnsi="Symbola" w:eastAsia="Symbola"/>
          <w:spacing w:val="5"/>
          <w:sz w:val="24"/>
        </w:rPr>
        <w:t> </w:t>
      </w:r>
      <w:r>
        <w:rPr>
          <w:rFonts w:ascii="Symbola" w:hAnsi="Symbola" w:eastAsia="Symbola"/>
          <w:w w:val="116"/>
          <w:position w:val="14"/>
          <w:sz w:val="17"/>
        </w:rPr>
        <w:t>𝜎</w:t>
      </w:r>
      <w:r>
        <w:rPr>
          <w:rFonts w:ascii="Symbola" w:hAnsi="Symbola" w:eastAsia="Symbola"/>
          <w:position w:val="14"/>
          <w:sz w:val="17"/>
        </w:rPr>
        <w:t> </w:t>
      </w:r>
      <w:r>
        <w:rPr>
          <w:rFonts w:ascii="Symbola" w:hAnsi="Symbola" w:eastAsia="Symbola"/>
          <w:w w:val="92"/>
          <w:position w:val="14"/>
          <w:sz w:val="17"/>
        </w:rPr>
        <w:t>×</w:t>
      </w:r>
      <w:r>
        <w:rPr>
          <w:rFonts w:ascii="Symbola" w:hAnsi="Symbola" w:eastAsia="Symbola"/>
          <w:spacing w:val="-4"/>
          <w:position w:val="14"/>
          <w:sz w:val="17"/>
        </w:rPr>
        <w:t> </w:t>
      </w:r>
      <w:r>
        <w:rPr>
          <w:rFonts w:ascii="Symbola" w:hAnsi="Symbola" w:eastAsia="Symbola"/>
          <w:w w:val="115"/>
          <w:position w:val="14"/>
          <w:sz w:val="17"/>
        </w:rPr>
        <w:t>𝑛</w:t>
      </w:r>
      <w:r>
        <w:rPr>
          <w:rFonts w:ascii="Symbola" w:hAnsi="Symbola" w:eastAsia="Symbola"/>
          <w:spacing w:val="-5"/>
          <w:position w:val="14"/>
          <w:sz w:val="17"/>
        </w:rPr>
        <w:t> </w:t>
      </w:r>
      <w:r>
        <w:rPr>
          <w:rFonts w:ascii="Symbola" w:hAnsi="Symbola" w:eastAsia="Symbola"/>
          <w:w w:val="92"/>
          <w:position w:val="14"/>
          <w:sz w:val="17"/>
        </w:rPr>
        <w:t>×</w:t>
      </w:r>
      <w:r>
        <w:rPr>
          <w:rFonts w:ascii="Symbola" w:hAnsi="Symbola" w:eastAsia="Symbola"/>
          <w:spacing w:val="-4"/>
          <w:position w:val="14"/>
          <w:sz w:val="17"/>
        </w:rPr>
        <w:t> </w:t>
      </w:r>
      <w:r>
        <w:rPr>
          <w:rFonts w:ascii="Symbola" w:hAnsi="Symbola" w:eastAsia="Symbola"/>
          <w:spacing w:val="-1"/>
          <w:w w:val="116"/>
          <w:position w:val="14"/>
          <w:sz w:val="17"/>
        </w:rPr>
        <w:t>𝑉</w:t>
      </w:r>
      <w:r>
        <w:rPr>
          <w:rFonts w:ascii="Symbola" w:hAnsi="Symbola" w:eastAsia="Symbola"/>
          <w:w w:val="104"/>
          <w:position w:val="14"/>
          <w:sz w:val="17"/>
        </w:rPr>
        <w:t>𝑜</w:t>
      </w:r>
      <w:r>
        <w:rPr>
          <w:rFonts w:ascii="Symbola" w:hAnsi="Symbola" w:eastAsia="Symbola"/>
          <w:spacing w:val="-1"/>
          <w:w w:val="62"/>
          <w:position w:val="14"/>
          <w:sz w:val="17"/>
        </w:rPr>
        <w:t>𝑙</w:t>
      </w:r>
      <w:r>
        <w:rPr>
          <w:rFonts w:ascii="Symbola" w:hAnsi="Symbola" w:eastAsia="Symbola"/>
          <w:spacing w:val="-1"/>
          <w:w w:val="115"/>
          <w:position w:val="14"/>
          <w:sz w:val="17"/>
        </w:rPr>
        <w:t>𝑢</w:t>
      </w:r>
      <w:r>
        <w:rPr>
          <w:rFonts w:ascii="Symbola" w:hAnsi="Symbola" w:eastAsia="Symbola"/>
          <w:spacing w:val="-2"/>
          <w:w w:val="166"/>
          <w:position w:val="14"/>
          <w:sz w:val="17"/>
        </w:rPr>
        <w:t>𝑚</w:t>
      </w:r>
      <w:r>
        <w:rPr>
          <w:rFonts w:ascii="Symbola" w:hAnsi="Symbola" w:eastAsia="Symbola"/>
          <w:w w:val="96"/>
          <w:position w:val="14"/>
          <w:sz w:val="17"/>
        </w:rPr>
        <w:t>𝑒</w:t>
      </w:r>
      <w:r>
        <w:rPr>
          <w:rFonts w:ascii="Symbola" w:hAnsi="Symbola" w:eastAsia="Symbola"/>
          <w:spacing w:val="-1"/>
          <w:position w:val="14"/>
          <w:sz w:val="17"/>
        </w:rPr>
        <w:t> </w:t>
      </w:r>
      <w:r>
        <w:rPr>
          <w:rFonts w:ascii="Symbola" w:hAnsi="Symbola" w:eastAsia="Symbola"/>
          <w:w w:val="104"/>
          <w:position w:val="14"/>
          <w:sz w:val="17"/>
        </w:rPr>
        <w:t>𝑜</w:t>
      </w:r>
      <w:r>
        <w:rPr>
          <w:rFonts w:ascii="Symbola" w:hAnsi="Symbola" w:eastAsia="Symbola"/>
          <w:w w:val="106"/>
          <w:position w:val="14"/>
          <w:sz w:val="17"/>
        </w:rPr>
        <w:t>𝑓</w:t>
      </w:r>
      <w:r>
        <w:rPr>
          <w:rFonts w:ascii="Symbola" w:hAnsi="Symbola" w:eastAsia="Symbola"/>
          <w:spacing w:val="-1"/>
          <w:position w:val="14"/>
          <w:sz w:val="17"/>
        </w:rPr>
        <w:t> </w:t>
      </w:r>
      <w:r>
        <w:rPr>
          <w:rFonts w:ascii="Symbola" w:hAnsi="Symbola" w:eastAsia="Symbola"/>
          <w:spacing w:val="-1"/>
          <w:w w:val="74"/>
          <w:position w:val="14"/>
          <w:sz w:val="17"/>
        </w:rPr>
        <w:t>𝑠𝑙</w:t>
      </w:r>
      <w:r>
        <w:rPr>
          <w:rFonts w:ascii="Symbola" w:hAnsi="Symbola" w:eastAsia="Symbola"/>
          <w:spacing w:val="-1"/>
          <w:w w:val="108"/>
          <w:position w:val="14"/>
          <w:sz w:val="17"/>
        </w:rPr>
        <w:t>𝑎</w:t>
      </w:r>
      <w:r>
        <w:rPr>
          <w:rFonts w:ascii="Symbola" w:hAnsi="Symbola" w:eastAsia="Symbola"/>
          <w:w w:val="108"/>
          <w:position w:val="14"/>
          <w:sz w:val="17"/>
        </w:rPr>
        <w:t>𝑏</w:t>
      </w:r>
      <w:r>
        <w:rPr>
          <w:rFonts w:ascii="Symbola" w:hAnsi="Symbola" w:eastAsia="Symbola"/>
          <w:position w:val="14"/>
          <w:sz w:val="17"/>
        </w:rPr>
        <w:t> </w:t>
      </w:r>
      <w:r>
        <w:rPr>
          <w:rFonts w:ascii="Symbola" w:hAnsi="Symbola" w:eastAsia="Symbola"/>
          <w:spacing w:val="-21"/>
          <w:position w:val="14"/>
          <w:sz w:val="17"/>
        </w:rPr>
        <w:t> </w:t>
      </w:r>
      <w:r>
        <w:rPr>
          <w:sz w:val="24"/>
        </w:rPr>
        <w:t>=</w:t>
      </w:r>
      <w:r>
        <w:rPr>
          <w:spacing w:val="1"/>
          <w:sz w:val="24"/>
        </w:rPr>
        <w:t> </w:t>
      </w:r>
      <w:r>
        <w:rPr>
          <w:rFonts w:ascii="Symbola" w:hAnsi="Symbola" w:eastAsia="Symbola"/>
          <w:w w:val="116"/>
          <w:position w:val="14"/>
          <w:sz w:val="17"/>
        </w:rPr>
        <w:t>𝜎</w:t>
      </w:r>
      <w:r>
        <w:rPr>
          <w:rFonts w:ascii="Symbola" w:hAnsi="Symbola" w:eastAsia="Symbola"/>
          <w:spacing w:val="2"/>
          <w:position w:val="14"/>
          <w:sz w:val="17"/>
        </w:rPr>
        <w:t> </w:t>
      </w:r>
      <w:r>
        <w:rPr>
          <w:rFonts w:ascii="Symbola" w:hAnsi="Symbola" w:eastAsia="Symbola"/>
          <w:w w:val="92"/>
          <w:position w:val="14"/>
          <w:sz w:val="17"/>
        </w:rPr>
        <w:t>×</w:t>
      </w:r>
      <w:r>
        <w:rPr>
          <w:rFonts w:ascii="Symbola" w:hAnsi="Symbola" w:eastAsia="Symbola"/>
          <w:spacing w:val="-4"/>
          <w:position w:val="14"/>
          <w:sz w:val="17"/>
        </w:rPr>
        <w:t> </w:t>
      </w:r>
      <w:r>
        <w:rPr>
          <w:rFonts w:ascii="Symbola" w:hAnsi="Symbola" w:eastAsia="Symbola"/>
          <w:w w:val="115"/>
          <w:position w:val="14"/>
          <w:sz w:val="17"/>
        </w:rPr>
        <w:t>𝑛</w:t>
      </w:r>
      <w:r>
        <w:rPr>
          <w:rFonts w:ascii="Symbola" w:hAnsi="Symbola" w:eastAsia="Symbola"/>
          <w:spacing w:val="-5"/>
          <w:position w:val="14"/>
          <w:sz w:val="17"/>
        </w:rPr>
        <w:t> </w:t>
      </w:r>
      <w:r>
        <w:rPr>
          <w:rFonts w:ascii="Symbola" w:hAnsi="Symbola" w:eastAsia="Symbola"/>
          <w:w w:val="92"/>
          <w:position w:val="14"/>
          <w:sz w:val="17"/>
        </w:rPr>
        <w:t>×</w:t>
      </w:r>
      <w:r>
        <w:rPr>
          <w:rFonts w:ascii="Symbola" w:hAnsi="Symbola" w:eastAsia="Symbola"/>
          <w:spacing w:val="-4"/>
          <w:position w:val="14"/>
          <w:sz w:val="17"/>
        </w:rPr>
        <w:t> </w:t>
      </w:r>
      <w:r>
        <w:rPr>
          <w:rFonts w:ascii="Symbola" w:hAnsi="Symbola" w:eastAsia="Symbola"/>
          <w:w w:val="117"/>
          <w:position w:val="14"/>
          <w:sz w:val="17"/>
        </w:rPr>
        <w:t>𝐴</w:t>
      </w:r>
      <w:r>
        <w:rPr>
          <w:rFonts w:ascii="Symbola" w:hAnsi="Symbola" w:eastAsia="Symbola"/>
          <w:spacing w:val="-7"/>
          <w:position w:val="14"/>
          <w:sz w:val="17"/>
        </w:rPr>
        <w:t> </w:t>
      </w:r>
      <w:r>
        <w:rPr>
          <w:rFonts w:ascii="Symbola" w:hAnsi="Symbola" w:eastAsia="Symbola"/>
          <w:w w:val="92"/>
          <w:position w:val="14"/>
          <w:sz w:val="17"/>
        </w:rPr>
        <w:t>×</w:t>
      </w:r>
      <w:r>
        <w:rPr>
          <w:rFonts w:ascii="Symbola" w:hAnsi="Symbola" w:eastAsia="Symbola"/>
          <w:spacing w:val="-4"/>
          <w:position w:val="14"/>
          <w:sz w:val="17"/>
        </w:rPr>
        <w:t> </w:t>
      </w:r>
      <w:r>
        <w:rPr>
          <w:rFonts w:ascii="Symbola" w:hAnsi="Symbola" w:eastAsia="Symbola"/>
          <w:spacing w:val="-1"/>
          <w:w w:val="109"/>
          <w:position w:val="14"/>
          <w:sz w:val="17"/>
        </w:rPr>
        <w:t>𝑑</w:t>
      </w:r>
      <w:r>
        <w:rPr>
          <w:rFonts w:ascii="Symbola" w:hAnsi="Symbola" w:eastAsia="Symbola"/>
          <w:w w:val="109"/>
          <w:position w:val="14"/>
          <w:sz w:val="17"/>
        </w:rPr>
        <w:t>𝑥</w:t>
      </w:r>
      <w:r>
        <w:rPr>
          <w:rFonts w:ascii="Symbola" w:hAnsi="Symbola" w:eastAsia="Symbola"/>
          <w:spacing w:val="20"/>
          <w:position w:val="14"/>
          <w:sz w:val="17"/>
        </w:rPr>
        <w:t> </w:t>
      </w:r>
      <w:r>
        <w:rPr>
          <w:sz w:val="24"/>
        </w:rPr>
        <w:t>=</w:t>
      </w:r>
      <w:r>
        <w:rPr>
          <w:spacing w:val="-1"/>
          <w:sz w:val="24"/>
        </w:rPr>
        <w:t> </w:t>
      </w:r>
      <w:r>
        <w:rPr>
          <w:rFonts w:ascii="Symbola" w:hAnsi="Symbola" w:eastAsia="Symbola"/>
          <w:w w:val="103"/>
          <w:sz w:val="18"/>
        </w:rPr>
        <w:t>𝜎</w:t>
      </w:r>
      <w:r>
        <w:rPr>
          <w:rFonts w:ascii="Symbola" w:hAnsi="Symbola" w:eastAsia="Symbola"/>
          <w:sz w:val="18"/>
        </w:rPr>
        <w:t> </w:t>
      </w:r>
      <w:r>
        <w:rPr>
          <w:rFonts w:ascii="Symbola" w:hAnsi="Symbola" w:eastAsia="Symbola"/>
          <w:w w:val="91"/>
          <w:sz w:val="18"/>
        </w:rPr>
        <w:t>×</w:t>
      </w:r>
      <w:r>
        <w:rPr>
          <w:rFonts w:ascii="Symbola" w:hAnsi="Symbola" w:eastAsia="Symbola"/>
          <w:spacing w:val="-6"/>
          <w:sz w:val="18"/>
        </w:rPr>
        <w:t> </w:t>
      </w:r>
      <w:r>
        <w:rPr>
          <w:rFonts w:ascii="Symbola" w:hAnsi="Symbola" w:eastAsia="Symbola"/>
          <w:w w:val="101"/>
          <w:sz w:val="18"/>
        </w:rPr>
        <w:t>𝑛</w:t>
      </w:r>
      <w:r>
        <w:rPr>
          <w:rFonts w:ascii="Symbola" w:hAnsi="Symbola" w:eastAsia="Symbola"/>
          <w:spacing w:val="-2"/>
          <w:sz w:val="18"/>
        </w:rPr>
        <w:t> </w:t>
      </w:r>
      <w:r>
        <w:rPr>
          <w:rFonts w:ascii="Symbola" w:hAnsi="Symbola" w:eastAsia="Symbola"/>
          <w:w w:val="91"/>
          <w:sz w:val="18"/>
        </w:rPr>
        <w:t>×</w:t>
      </w:r>
      <w:r>
        <w:rPr>
          <w:rFonts w:ascii="Symbola" w:hAnsi="Symbola" w:eastAsia="Symbola"/>
          <w:spacing w:val="-6"/>
          <w:sz w:val="18"/>
        </w:rPr>
        <w:t> </w:t>
      </w:r>
      <w:r>
        <w:rPr>
          <w:rFonts w:ascii="Symbola" w:hAnsi="Symbola" w:eastAsia="Symbola"/>
          <w:spacing w:val="-2"/>
          <w:w w:val="103"/>
          <w:sz w:val="18"/>
        </w:rPr>
        <w:t>𝑑</w:t>
      </w:r>
      <w:r>
        <w:rPr>
          <w:rFonts w:ascii="Symbola" w:hAnsi="Symbola" w:eastAsia="Symbola"/>
          <w:w w:val="94"/>
          <w:sz w:val="18"/>
        </w:rPr>
        <w:t>𝑥</w:t>
      </w:r>
    </w:p>
    <w:p>
      <w:pPr>
        <w:tabs>
          <w:tab w:pos="6870" w:val="left" w:leader="none"/>
        </w:tabs>
        <w:spacing w:before="29"/>
        <w:ind w:left="5092" w:right="0" w:firstLine="0"/>
        <w:jc w:val="left"/>
        <w:rPr>
          <w:rFonts w:ascii="Symbola" w:eastAsia="Symbola"/>
          <w:sz w:val="17"/>
        </w:rPr>
      </w:pPr>
      <w:r>
        <w:rPr>
          <w:rFonts w:ascii="Symbola" w:eastAsia="Symbola"/>
          <w:w w:val="120"/>
          <w:sz w:val="17"/>
        </w:rPr>
        <w:t>𝐴</w:t>
        <w:tab/>
        <w:t>𝐴</w:t>
      </w:r>
    </w:p>
    <w:p>
      <w:pPr>
        <w:pStyle w:val="BodyText"/>
        <w:spacing w:before="8"/>
        <w:rPr>
          <w:rFonts w:ascii="Symbola"/>
          <w:sz w:val="18"/>
        </w:rPr>
      </w:pPr>
    </w:p>
    <w:p>
      <w:pPr>
        <w:pStyle w:val="BodyText"/>
        <w:spacing w:line="243" w:lineRule="exact" w:before="180"/>
        <w:ind w:left="300"/>
      </w:pPr>
      <w:r>
        <w:rPr/>
        <w:pict>
          <v:rect style="position:absolute;margin-left:287.160004pt;margin-top:16.363134pt;width:9pt;height:.84pt;mso-position-horizontal-relative:page;mso-position-vertical-relative:paragraph;z-index:-18521088" filled="true" fillcolor="#000000" stroked="false">
            <v:fill type="solid"/>
            <w10:wrap type="none"/>
          </v:rect>
        </w:pict>
      </w:r>
      <w:r>
        <w:rPr/>
        <w:t>Therefore, the fraction of the photons (</w:t>
      </w:r>
      <w:r>
        <w:rPr>
          <w:rFonts w:ascii="Symbola" w:hAnsi="Symbola" w:eastAsia="Symbola"/>
          <w:vertAlign w:val="superscript"/>
        </w:rPr>
        <w:t>𝑑𝐼</w:t>
      </w:r>
      <w:r>
        <w:rPr>
          <w:vertAlign w:val="baseline"/>
        </w:rPr>
        <w:t>) absorbed is proportional to </w:t>
      </w:r>
      <w:r>
        <w:rPr>
          <w:rFonts w:ascii="Symbola" w:hAnsi="Symbola" w:eastAsia="Symbola"/>
          <w:vertAlign w:val="baseline"/>
        </w:rPr>
        <w:t>𝜎 × 𝑛 × 𝑑𝑥</w:t>
      </w:r>
      <w:r>
        <w:rPr>
          <w:vertAlign w:val="baseline"/>
        </w:rPr>
        <w:t>.</w:t>
      </w:r>
    </w:p>
    <w:p>
      <w:pPr>
        <w:spacing w:line="180" w:lineRule="auto" w:before="0"/>
        <w:ind w:left="349" w:right="617" w:firstLine="0"/>
        <w:jc w:val="center"/>
        <w:rPr>
          <w:rFonts w:ascii="Symbola" w:eastAsia="Symbola"/>
          <w:sz w:val="14"/>
        </w:rPr>
      </w:pPr>
      <w:r>
        <w:rPr>
          <w:rFonts w:ascii="Symbola" w:eastAsia="Symbola"/>
          <w:sz w:val="17"/>
        </w:rPr>
        <w:t>𝐼</w:t>
      </w:r>
      <w:r>
        <w:rPr>
          <w:rFonts w:ascii="Symbola" w:eastAsia="Symbola"/>
          <w:position w:val="-2"/>
          <w:sz w:val="14"/>
        </w:rPr>
        <w:t>𝑥</w:t>
      </w:r>
    </w:p>
    <w:p>
      <w:pPr>
        <w:pStyle w:val="BodyText"/>
        <w:spacing w:before="124"/>
        <w:ind w:left="292" w:right="617"/>
        <w:jc w:val="center"/>
      </w:pPr>
      <w:r>
        <w:rPr/>
        <w:t>Assuming the probability of absorption if a photon strikes the molecule to be</w:t>
      </w:r>
      <w:r>
        <w:rPr>
          <w:spacing w:val="-18"/>
        </w:rPr>
        <w:t> </w:t>
      </w:r>
      <w:r>
        <w:rPr/>
        <w:t>unity,</w:t>
      </w:r>
    </w:p>
    <w:p>
      <w:pPr>
        <w:pStyle w:val="BodyText"/>
        <w:spacing w:before="3"/>
        <w:rPr>
          <w:sz w:val="35"/>
        </w:rPr>
      </w:pPr>
    </w:p>
    <w:p>
      <w:pPr>
        <w:pStyle w:val="BodyText"/>
        <w:tabs>
          <w:tab w:pos="6069" w:val="left" w:leader="none"/>
        </w:tabs>
        <w:spacing w:line="243" w:lineRule="exact" w:before="1"/>
        <w:ind w:left="1740"/>
      </w:pPr>
      <w:r>
        <w:rPr/>
        <w:pict>
          <v:rect style="position:absolute;margin-left:162pt;margin-top:7.413138pt;width:9pt;height:.84pt;mso-position-horizontal-relative:page;mso-position-vertical-relative:paragraph;z-index:-18520576" filled="true" fillcolor="#000000" stroked="false">
            <v:fill type="solid"/>
            <w10:wrap type="none"/>
          </v:rect>
        </w:pict>
      </w:r>
      <w:r>
        <w:rPr>
          <w:rFonts w:ascii="Symbola" w:hAnsi="Symbola" w:eastAsia="Symbola"/>
          <w:vertAlign w:val="superscript"/>
        </w:rPr>
        <w:t>𝑑𝐼</w:t>
      </w:r>
      <w:r>
        <w:rPr>
          <w:rFonts w:ascii="Symbola" w:hAnsi="Symbola" w:eastAsia="Symbola"/>
          <w:vertAlign w:val="baseline"/>
        </w:rPr>
        <w:t> =  − 𝜎 × 𝑛</w:t>
      </w:r>
      <w:r>
        <w:rPr>
          <w:rFonts w:ascii="Symbola" w:hAnsi="Symbola" w:eastAsia="Symbola"/>
          <w:spacing w:val="-7"/>
          <w:vertAlign w:val="baseline"/>
        </w:rPr>
        <w:t> </w:t>
      </w:r>
      <w:r>
        <w:rPr>
          <w:rFonts w:ascii="Symbola" w:hAnsi="Symbola" w:eastAsia="Symbola"/>
          <w:vertAlign w:val="baseline"/>
        </w:rPr>
        <w:t>×</w:t>
      </w:r>
      <w:r>
        <w:rPr>
          <w:rFonts w:ascii="Symbola" w:hAnsi="Symbola" w:eastAsia="Symbola"/>
          <w:spacing w:val="-12"/>
          <w:vertAlign w:val="baseline"/>
        </w:rPr>
        <w:t> </w:t>
      </w:r>
      <w:r>
        <w:rPr>
          <w:rFonts w:ascii="Symbola" w:hAnsi="Symbola" w:eastAsia="Symbola"/>
          <w:vertAlign w:val="baseline"/>
        </w:rPr>
        <w:t>𝑑𝑥</w:t>
        <w:tab/>
      </w:r>
      <w:r>
        <w:rPr>
          <w:spacing w:val="9"/>
          <w:vertAlign w:val="baseline"/>
        </w:rPr>
        <w:t>························</w:t>
      </w:r>
      <w:r>
        <w:rPr>
          <w:spacing w:val="13"/>
          <w:vertAlign w:val="baseline"/>
        </w:rPr>
        <w:t> </w:t>
      </w:r>
      <w:r>
        <w:rPr>
          <w:vertAlign w:val="baseline"/>
        </w:rPr>
        <w:t>(4.1)</w:t>
      </w:r>
    </w:p>
    <w:p>
      <w:pPr>
        <w:spacing w:line="180" w:lineRule="auto" w:before="0"/>
        <w:ind w:left="1754" w:right="0" w:firstLine="0"/>
        <w:jc w:val="left"/>
        <w:rPr>
          <w:rFonts w:ascii="Symbola" w:eastAsia="Symbola"/>
          <w:sz w:val="14"/>
        </w:rPr>
      </w:pPr>
      <w:r>
        <w:rPr>
          <w:rFonts w:ascii="Symbola" w:eastAsia="Symbola"/>
          <w:sz w:val="17"/>
        </w:rPr>
        <w:t>𝐼</w:t>
      </w:r>
      <w:r>
        <w:rPr>
          <w:rFonts w:ascii="Symbola" w:eastAsia="Symbola"/>
          <w:position w:val="-2"/>
          <w:sz w:val="14"/>
        </w:rPr>
        <w:t>𝑥</w:t>
      </w:r>
    </w:p>
    <w:p>
      <w:pPr>
        <w:pStyle w:val="BodyText"/>
        <w:spacing w:before="1"/>
        <w:rPr>
          <w:rFonts w:ascii="Symbola"/>
          <w:sz w:val="23"/>
        </w:rPr>
      </w:pPr>
    </w:p>
    <w:p>
      <w:pPr>
        <w:pStyle w:val="BodyText"/>
        <w:spacing w:line="535" w:lineRule="auto" w:before="90"/>
        <w:ind w:left="300" w:right="1525" w:firstLine="2160"/>
        <w:rPr>
          <w:i/>
        </w:rPr>
      </w:pPr>
      <w:r>
        <w:rPr/>
        <w:t>The negative sign represents a decrease in intensity Integrating equation 4.1 from </w:t>
      </w:r>
      <w:r>
        <w:rPr>
          <w:i/>
        </w:rPr>
        <w:t>x = 0 </w:t>
      </w:r>
      <w:r>
        <w:rPr/>
        <w:t>to </w:t>
      </w:r>
      <w:r>
        <w:rPr>
          <w:i/>
        </w:rPr>
        <w:t>x = l</w:t>
      </w:r>
    </w:p>
    <w:p>
      <w:pPr>
        <w:pStyle w:val="BodyText"/>
        <w:tabs>
          <w:tab w:pos="7877" w:val="left" w:leader="middleDot"/>
        </w:tabs>
        <w:spacing w:line="115" w:lineRule="exact" w:before="17"/>
        <w:ind w:left="1740"/>
      </w:pPr>
      <w:r>
        <w:rPr>
          <w:rFonts w:ascii="Symbola" w:hAnsi="Symbola" w:eastAsia="Symbola"/>
          <w:spacing w:val="-1"/>
          <w:w w:val="96"/>
        </w:rPr>
        <w:t>l</w:t>
      </w:r>
      <w:r>
        <w:rPr>
          <w:rFonts w:ascii="Symbola" w:hAnsi="Symbola" w:eastAsia="Symbola"/>
          <w:w w:val="96"/>
        </w:rPr>
        <w:t>n</w:t>
      </w:r>
      <w:r>
        <w:rPr>
          <w:rFonts w:ascii="Symbola" w:hAnsi="Symbola" w:eastAsia="Symbola"/>
          <w:spacing w:val="7"/>
          <w:w w:val="67"/>
        </w:rPr>
        <w:t>𝐼</w:t>
      </w:r>
      <w:r>
        <w:rPr>
          <w:rFonts w:ascii="Symbola" w:hAnsi="Symbola" w:eastAsia="Symbola"/>
          <w:w w:val="158"/>
          <w:position w:val="1"/>
        </w:rPr>
        <w:t>|</w:t>
      </w:r>
      <w:r>
        <w:rPr>
          <w:rFonts w:ascii="Symbola" w:hAnsi="Symbola" w:eastAsia="Symbola"/>
          <w:w w:val="62"/>
          <w:position w:val="1"/>
          <w:vertAlign w:val="superscript"/>
        </w:rPr>
        <w:t>𝐼</w:t>
      </w:r>
      <w:r>
        <w:rPr>
          <w:rFonts w:ascii="Symbola" w:hAnsi="Symbola" w:eastAsia="Symbola"/>
          <w:position w:val="1"/>
          <w:vertAlign w:val="baseline"/>
        </w:rPr>
        <w:t>  </w:t>
      </w:r>
      <w:r>
        <w:rPr>
          <w:rFonts w:ascii="Symbola" w:hAnsi="Symbola" w:eastAsia="Symbola"/>
          <w:spacing w:val="-19"/>
          <w:position w:val="1"/>
          <w:vertAlign w:val="baseline"/>
        </w:rPr>
        <w:t> </w:t>
      </w:r>
      <w:r>
        <w:rPr>
          <w:rFonts w:ascii="Symbola" w:hAnsi="Symbola" w:eastAsia="Symbola"/>
          <w:w w:val="96"/>
          <w:vertAlign w:val="baseline"/>
        </w:rPr>
        <w:t>=</w:t>
      </w:r>
      <w:r>
        <w:rPr>
          <w:rFonts w:ascii="Symbola" w:hAnsi="Symbola" w:eastAsia="Symbola"/>
          <w:spacing w:val="7"/>
          <w:vertAlign w:val="baseline"/>
        </w:rPr>
        <w:t> </w:t>
      </w:r>
      <w:r>
        <w:rPr>
          <w:rFonts w:ascii="Symbola" w:hAnsi="Symbola" w:eastAsia="Symbola"/>
          <w:w w:val="96"/>
          <w:vertAlign w:val="baseline"/>
        </w:rPr>
        <w:t>−</w:t>
      </w:r>
      <w:r>
        <w:rPr>
          <w:rFonts w:ascii="Symbola" w:hAnsi="Symbola" w:eastAsia="Symbola"/>
          <w:spacing w:val="-7"/>
          <w:vertAlign w:val="baseline"/>
        </w:rPr>
        <w:t> </w:t>
      </w:r>
      <w:r>
        <w:rPr>
          <w:rFonts w:ascii="Symbola" w:hAnsi="Symbola" w:eastAsia="Symbola"/>
          <w:w w:val="103"/>
          <w:vertAlign w:val="baseline"/>
        </w:rPr>
        <w:t>𝜎</w:t>
      </w:r>
      <w:r>
        <w:rPr>
          <w:rFonts w:ascii="Symbola" w:hAnsi="Symbola" w:eastAsia="Symbola"/>
          <w:vertAlign w:val="baseline"/>
        </w:rPr>
        <w:t> </w:t>
      </w:r>
      <w:r>
        <w:rPr>
          <w:rFonts w:ascii="Symbola" w:hAnsi="Symbola" w:eastAsia="Symbola"/>
          <w:spacing w:val="-9"/>
          <w:vertAlign w:val="baseline"/>
        </w:rPr>
        <w:t> </w:t>
      </w:r>
      <w:r>
        <w:rPr>
          <w:rFonts w:ascii="Symbola" w:hAnsi="Symbola" w:eastAsia="Symbola"/>
          <w:w w:val="91"/>
          <w:vertAlign w:val="baseline"/>
        </w:rPr>
        <w:t>×</w:t>
      </w:r>
      <w:r>
        <w:rPr>
          <w:rFonts w:ascii="Symbola" w:hAnsi="Symbola" w:eastAsia="Symbola"/>
          <w:spacing w:val="-9"/>
          <w:vertAlign w:val="baseline"/>
        </w:rPr>
        <w:t> </w:t>
      </w:r>
      <w:r>
        <w:rPr>
          <w:rFonts w:ascii="Symbola" w:hAnsi="Symbola" w:eastAsia="Symbola"/>
          <w:w w:val="101"/>
          <w:vertAlign w:val="baseline"/>
        </w:rPr>
        <w:t>𝑛</w:t>
      </w:r>
      <w:r>
        <w:rPr>
          <w:rFonts w:ascii="Symbola" w:hAnsi="Symbola" w:eastAsia="Symbola"/>
          <w:spacing w:val="-4"/>
          <w:vertAlign w:val="baseline"/>
        </w:rPr>
        <w:t> </w:t>
      </w:r>
      <w:r>
        <w:rPr>
          <w:rFonts w:ascii="Symbola" w:hAnsi="Symbola" w:eastAsia="Symbola"/>
          <w:w w:val="91"/>
          <w:vertAlign w:val="baseline"/>
        </w:rPr>
        <w:t>×</w:t>
      </w:r>
      <w:r>
        <w:rPr>
          <w:rFonts w:ascii="Symbola" w:hAnsi="Symbola" w:eastAsia="Symbola"/>
          <w:vertAlign w:val="baseline"/>
        </w:rPr>
        <w:t> </w:t>
      </w:r>
      <w:r>
        <w:rPr>
          <w:rFonts w:ascii="Symbola" w:hAnsi="Symbola" w:eastAsia="Symbola"/>
          <w:spacing w:val="-14"/>
          <w:vertAlign w:val="baseline"/>
        </w:rPr>
        <w:t> </w:t>
      </w:r>
      <w:r>
        <w:rPr>
          <w:rFonts w:ascii="Symbola" w:hAnsi="Symbola" w:eastAsia="Symbola"/>
          <w:spacing w:val="6"/>
          <w:w w:val="94"/>
          <w:vertAlign w:val="baseline"/>
        </w:rPr>
        <w:t>𝑥</w:t>
      </w:r>
      <w:r>
        <w:rPr>
          <w:rFonts w:ascii="Symbola" w:hAnsi="Symbola" w:eastAsia="Symbola"/>
          <w:w w:val="158"/>
          <w:position w:val="1"/>
          <w:vertAlign w:val="baseline"/>
        </w:rPr>
        <w:t>|</w:t>
      </w:r>
      <w:r>
        <w:rPr>
          <w:rFonts w:ascii="Symbola" w:hAnsi="Symbola" w:eastAsia="Symbola"/>
          <w:w w:val="56"/>
          <w:position w:val="1"/>
          <w:vertAlign w:val="superscript"/>
        </w:rPr>
        <w:t>𝑙</w:t>
      </w:r>
      <w:r>
        <w:rPr>
          <w:w w:val="100"/>
          <w:position w:val="9"/>
          <w:sz w:val="17"/>
          <w:vertAlign w:val="baseline"/>
        </w:rPr>
        <w:t> </w:t>
      </w:r>
      <w:r>
        <w:rPr>
          <w:position w:val="9"/>
          <w:sz w:val="17"/>
          <w:vertAlign w:val="baseline"/>
        </w:rPr>
        <w:tab/>
      </w:r>
      <w:r>
        <w:rPr>
          <w:spacing w:val="-1"/>
          <w:vertAlign w:val="baseline"/>
        </w:rPr>
        <w:t>(</w:t>
      </w:r>
      <w:r>
        <w:rPr>
          <w:vertAlign w:val="baseline"/>
        </w:rPr>
        <w:t>4.</w:t>
      </w:r>
      <w:r>
        <w:rPr>
          <w:spacing w:val="2"/>
          <w:vertAlign w:val="baseline"/>
        </w:rPr>
        <w:t>2</w:t>
      </w:r>
      <w:r>
        <w:rPr>
          <w:vertAlign w:val="baseline"/>
        </w:rPr>
        <w:t>)</w:t>
      </w:r>
    </w:p>
    <w:p>
      <w:pPr>
        <w:tabs>
          <w:tab w:pos="3981" w:val="left" w:leader="none"/>
        </w:tabs>
        <w:spacing w:before="29"/>
        <w:ind w:left="2114" w:right="0" w:firstLine="0"/>
        <w:jc w:val="left"/>
        <w:rPr>
          <w:rFonts w:ascii="Symbola" w:eastAsia="Symbola"/>
          <w:sz w:val="17"/>
        </w:rPr>
      </w:pPr>
      <w:r>
        <w:rPr>
          <w:rFonts w:ascii="Symbola" w:eastAsia="Symbola"/>
          <w:spacing w:val="-5"/>
          <w:w w:val="105"/>
          <w:sz w:val="17"/>
        </w:rPr>
        <w:t>𝐼</w:t>
      </w:r>
      <w:r>
        <w:rPr>
          <w:rFonts w:ascii="Symbola" w:eastAsia="Symbola"/>
          <w:spacing w:val="-5"/>
          <w:w w:val="105"/>
          <w:position w:val="-2"/>
          <w:sz w:val="14"/>
        </w:rPr>
        <w:t>𝑜</w:t>
        <w:tab/>
      </w:r>
      <w:r>
        <w:rPr>
          <w:rFonts w:ascii="Symbola" w:eastAsia="Symbola"/>
          <w:w w:val="105"/>
          <w:sz w:val="17"/>
        </w:rPr>
        <w:t>0</w:t>
      </w:r>
    </w:p>
    <w:p>
      <w:pPr>
        <w:pStyle w:val="BodyText"/>
        <w:spacing w:before="4"/>
        <w:rPr>
          <w:rFonts w:ascii="Symbola"/>
          <w:sz w:val="21"/>
        </w:rPr>
      </w:pPr>
    </w:p>
    <w:p>
      <w:pPr>
        <w:pStyle w:val="BodyText"/>
        <w:tabs>
          <w:tab w:pos="7877" w:val="left" w:leader="middleDot"/>
        </w:tabs>
        <w:spacing w:before="104"/>
        <w:ind w:left="1740"/>
      </w:pPr>
      <w:r>
        <w:rPr>
          <w:rFonts w:ascii="Symbola" w:hAnsi="Symbola" w:eastAsia="Symbola"/>
        </w:rPr>
        <w:t>ln</w:t>
      </w:r>
      <w:r>
        <w:rPr>
          <w:rFonts w:ascii="Symbola" w:hAnsi="Symbola" w:eastAsia="Symbola"/>
          <w:spacing w:val="-29"/>
        </w:rPr>
        <w:t> </w:t>
      </w:r>
      <w:r>
        <w:rPr>
          <w:rFonts w:ascii="Symbola" w:hAnsi="Symbola" w:eastAsia="Symbola"/>
          <w:w w:val="95"/>
        </w:rPr>
        <w:t>𝐼</w:t>
      </w:r>
      <w:r>
        <w:rPr>
          <w:rFonts w:ascii="Symbola" w:hAnsi="Symbola" w:eastAsia="Symbola"/>
          <w:spacing w:val="-11"/>
          <w:w w:val="95"/>
        </w:rPr>
        <w:t> </w:t>
      </w:r>
      <w:r>
        <w:rPr>
          <w:rFonts w:ascii="Symbola" w:hAnsi="Symbola" w:eastAsia="Symbola"/>
        </w:rPr>
        <w:t>−</w:t>
      </w:r>
      <w:r>
        <w:rPr>
          <w:rFonts w:ascii="Symbola" w:hAnsi="Symbola" w:eastAsia="Symbola"/>
          <w:spacing w:val="-19"/>
        </w:rPr>
        <w:t> </w:t>
      </w:r>
      <w:r>
        <w:rPr>
          <w:rFonts w:ascii="Symbola" w:hAnsi="Symbola" w:eastAsia="Symbola"/>
        </w:rPr>
        <w:t>ln</w:t>
      </w:r>
      <w:r>
        <w:rPr>
          <w:rFonts w:ascii="Symbola" w:hAnsi="Symbola" w:eastAsia="Symbola"/>
          <w:spacing w:val="-31"/>
        </w:rPr>
        <w:t> </w:t>
      </w:r>
      <w:r>
        <w:rPr>
          <w:rFonts w:ascii="Symbola" w:hAnsi="Symbola" w:eastAsia="Symbola"/>
          <w:spacing w:val="-8"/>
        </w:rPr>
        <w:t>𝐼</w:t>
      </w:r>
      <w:r>
        <w:rPr>
          <w:rFonts w:ascii="Symbola" w:hAnsi="Symbola" w:eastAsia="Symbola"/>
          <w:spacing w:val="-8"/>
          <w:vertAlign w:val="subscript"/>
        </w:rPr>
        <w:t>𝑜</w:t>
      </w:r>
      <w:r>
        <w:rPr>
          <w:rFonts w:ascii="Symbola" w:hAnsi="Symbola" w:eastAsia="Symbola"/>
          <w:spacing w:val="3"/>
          <w:vertAlign w:val="baseline"/>
        </w:rPr>
        <w:t> </w:t>
      </w:r>
      <w:r>
        <w:rPr>
          <w:rFonts w:ascii="Symbola" w:hAnsi="Symbola" w:eastAsia="Symbola"/>
          <w:vertAlign w:val="baseline"/>
        </w:rPr>
        <w:t>=</w:t>
      </w:r>
      <w:r>
        <w:rPr>
          <w:rFonts w:ascii="Symbola" w:hAnsi="Symbola" w:eastAsia="Symbola"/>
          <w:spacing w:val="31"/>
          <w:vertAlign w:val="baseline"/>
        </w:rPr>
        <w:t> </w:t>
      </w:r>
      <w:r>
        <w:rPr>
          <w:rFonts w:ascii="Symbola" w:hAnsi="Symbola" w:eastAsia="Symbola"/>
          <w:vertAlign w:val="baseline"/>
        </w:rPr>
        <w:t>−𝜎</w:t>
      </w:r>
      <w:r>
        <w:rPr>
          <w:rFonts w:ascii="Symbola" w:hAnsi="Symbola" w:eastAsia="Symbola"/>
          <w:spacing w:val="25"/>
          <w:vertAlign w:val="baseline"/>
        </w:rPr>
        <w:t> </w:t>
      </w:r>
      <w:r>
        <w:rPr>
          <w:rFonts w:ascii="Symbola" w:hAnsi="Symbola" w:eastAsia="Symbola"/>
          <w:vertAlign w:val="baseline"/>
        </w:rPr>
        <w:t>×</w:t>
      </w:r>
      <w:r>
        <w:rPr>
          <w:rFonts w:ascii="Symbola" w:hAnsi="Symbola" w:eastAsia="Symbola"/>
          <w:spacing w:val="-18"/>
          <w:vertAlign w:val="baseline"/>
        </w:rPr>
        <w:t> </w:t>
      </w:r>
      <w:r>
        <w:rPr>
          <w:rFonts w:ascii="Symbola" w:hAnsi="Symbola" w:eastAsia="Symbola"/>
          <w:vertAlign w:val="baseline"/>
        </w:rPr>
        <w:t>𝑛</w:t>
      </w:r>
      <w:r>
        <w:rPr>
          <w:rFonts w:ascii="Symbola" w:hAnsi="Symbola" w:eastAsia="Symbola"/>
          <w:spacing w:val="-17"/>
          <w:vertAlign w:val="baseline"/>
        </w:rPr>
        <w:t> </w:t>
      </w:r>
      <w:r>
        <w:rPr>
          <w:rFonts w:ascii="Symbola" w:hAnsi="Symbola" w:eastAsia="Symbola"/>
          <w:vertAlign w:val="baseline"/>
        </w:rPr>
        <w:t>×</w:t>
      </w:r>
      <w:r>
        <w:rPr>
          <w:rFonts w:ascii="Symbola" w:hAnsi="Symbola" w:eastAsia="Symbola"/>
          <w:spacing w:val="22"/>
          <w:vertAlign w:val="baseline"/>
        </w:rPr>
        <w:t> </w:t>
      </w:r>
      <w:r>
        <w:rPr>
          <w:rFonts w:ascii="Symbola" w:hAnsi="Symbola" w:eastAsia="Symbola"/>
          <w:w w:val="95"/>
          <w:vertAlign w:val="baseline"/>
        </w:rPr>
        <w:t>𝑙</w:t>
        <w:tab/>
      </w:r>
      <w:r>
        <w:rPr>
          <w:vertAlign w:val="baseline"/>
        </w:rPr>
        <w:t>(4.3)</w:t>
      </w:r>
    </w:p>
    <w:p>
      <w:pPr>
        <w:pStyle w:val="BodyText"/>
        <w:spacing w:before="5"/>
        <w:rPr>
          <w:sz w:val="19"/>
        </w:rPr>
      </w:pPr>
    </w:p>
    <w:p>
      <w:pPr>
        <w:spacing w:after="0"/>
        <w:rPr>
          <w:sz w:val="19"/>
        </w:rPr>
        <w:sectPr>
          <w:pgSz w:w="11910" w:h="16840"/>
          <w:pgMar w:header="722" w:footer="748" w:top="1300" w:bottom="940" w:left="1500" w:right="1480"/>
        </w:sectPr>
      </w:pPr>
    </w:p>
    <w:p>
      <w:pPr>
        <w:pStyle w:val="BodyText"/>
        <w:spacing w:line="207" w:lineRule="exact" w:before="216"/>
        <w:ind w:right="35"/>
        <w:jc w:val="right"/>
        <w:rPr>
          <w:rFonts w:ascii="Symbola" w:hAnsi="Symbola" w:eastAsia="Symbola"/>
        </w:rPr>
      </w:pPr>
      <w:r>
        <w:rPr/>
        <w:pict>
          <v:rect style="position:absolute;margin-left:185.520004pt;margin-top:16.369154pt;width:7.681pt;height:.841pt;mso-position-horizontal-relative:page;mso-position-vertical-relative:paragraph;z-index:-18520064" filled="true" fillcolor="#000000" stroked="false">
            <v:fill type="solid"/>
            <w10:wrap type="none"/>
          </v:rect>
        </w:pict>
      </w:r>
      <w:r>
        <w:rPr>
          <w:rFonts w:ascii="Symbola" w:hAnsi="Symbola" w:eastAsia="Symbola"/>
          <w:w w:val="95"/>
        </w:rPr>
        <w:t>− ln</w:t>
      </w:r>
      <w:r>
        <w:rPr>
          <w:rFonts w:ascii="Symbola" w:hAnsi="Symbola" w:eastAsia="Symbola"/>
          <w:spacing w:val="-6"/>
          <w:w w:val="95"/>
        </w:rPr>
        <w:t> </w:t>
      </w:r>
      <w:r>
        <w:rPr>
          <w:rFonts w:ascii="Symbola" w:hAnsi="Symbola" w:eastAsia="Symbola"/>
          <w:w w:val="95"/>
          <w:vertAlign w:val="superscript"/>
        </w:rPr>
        <w:t>𝐼</w:t>
      </w:r>
    </w:p>
    <w:p>
      <w:pPr>
        <w:spacing w:line="180" w:lineRule="auto" w:before="0"/>
        <w:ind w:left="0" w:right="0" w:firstLine="0"/>
        <w:jc w:val="right"/>
        <w:rPr>
          <w:rFonts w:ascii="Symbola" w:eastAsia="Symbola"/>
          <w:sz w:val="14"/>
        </w:rPr>
      </w:pPr>
      <w:r>
        <w:rPr>
          <w:rFonts w:ascii="Symbola" w:eastAsia="Symbola"/>
          <w:spacing w:val="-7"/>
          <w:w w:val="90"/>
          <w:sz w:val="17"/>
        </w:rPr>
        <w:t>𝐼</w:t>
      </w:r>
      <w:r>
        <w:rPr>
          <w:rFonts w:ascii="Symbola" w:eastAsia="Symbola"/>
          <w:spacing w:val="-7"/>
          <w:w w:val="90"/>
          <w:position w:val="-2"/>
          <w:sz w:val="14"/>
        </w:rPr>
        <w:t>𝑜</w:t>
      </w:r>
    </w:p>
    <w:p>
      <w:pPr>
        <w:pStyle w:val="BodyText"/>
        <w:tabs>
          <w:tab w:pos="3674" w:val="left" w:leader="none"/>
        </w:tabs>
        <w:spacing w:before="180"/>
        <w:ind w:left="35"/>
      </w:pPr>
      <w:r>
        <w:rPr/>
        <w:br w:type="column"/>
      </w:r>
      <w:r>
        <w:rPr>
          <w:rFonts w:ascii="Symbola" w:hAnsi="Symbola" w:eastAsia="Symbola"/>
        </w:rPr>
        <w:t>=  𝜎 × 𝑛</w:t>
      </w:r>
      <w:r>
        <w:rPr>
          <w:rFonts w:ascii="Symbola" w:hAnsi="Symbola" w:eastAsia="Symbola"/>
          <w:spacing w:val="-9"/>
        </w:rPr>
        <w:t> </w:t>
      </w:r>
      <w:r>
        <w:rPr>
          <w:rFonts w:ascii="Symbola" w:hAnsi="Symbola" w:eastAsia="Symbola"/>
        </w:rPr>
        <w:t>×</w:t>
      </w:r>
      <w:r>
        <w:rPr>
          <w:rFonts w:ascii="Symbola" w:hAnsi="Symbola" w:eastAsia="Symbola"/>
          <w:spacing w:val="31"/>
        </w:rPr>
        <w:t> </w:t>
      </w:r>
      <w:r>
        <w:rPr>
          <w:rFonts w:ascii="Symbola" w:hAnsi="Symbola" w:eastAsia="Symbola"/>
          <w:w w:val="95"/>
        </w:rPr>
        <w:t>𝑙</w:t>
        <w:tab/>
      </w:r>
      <w:r>
        <w:rPr>
          <w:spacing w:val="9"/>
        </w:rPr>
        <w:t>·························</w:t>
      </w:r>
      <w:r>
        <w:rPr>
          <w:spacing w:val="10"/>
        </w:rPr>
        <w:t> </w:t>
      </w:r>
      <w:r>
        <w:rPr/>
        <w:t>(4.4)</w:t>
      </w:r>
    </w:p>
    <w:p>
      <w:pPr>
        <w:spacing w:after="0"/>
        <w:sectPr>
          <w:type w:val="continuous"/>
          <w:pgSz w:w="11910" w:h="16840"/>
          <w:pgMar w:top="1300" w:bottom="940" w:left="1500" w:right="1480"/>
          <w:cols w:num="2" w:equalWidth="0">
            <w:col w:w="2356" w:space="40"/>
            <w:col w:w="6534"/>
          </w:cols>
        </w:sectPr>
      </w:pPr>
    </w:p>
    <w:p>
      <w:pPr>
        <w:pStyle w:val="BodyText"/>
        <w:spacing w:before="1"/>
        <w:rPr>
          <w:sz w:val="20"/>
        </w:rPr>
      </w:pPr>
    </w:p>
    <w:p>
      <w:pPr>
        <w:pStyle w:val="BodyText"/>
        <w:spacing w:before="90"/>
        <w:ind w:left="300"/>
      </w:pPr>
      <w:r>
        <w:rPr/>
        <w:t>Now, the molar concentration of the molecules, </w:t>
      </w:r>
      <w:r>
        <w:rPr>
          <w:i/>
        </w:rPr>
        <w:t>c </w:t>
      </w:r>
      <w:r>
        <w:rPr/>
        <w:t>can be given by:</w:t>
      </w:r>
    </w:p>
    <w:p>
      <w:pPr>
        <w:spacing w:after="0"/>
        <w:sectPr>
          <w:type w:val="continuous"/>
          <w:pgSz w:w="11910" w:h="16840"/>
          <w:pgMar w:top="1300" w:bottom="940" w:left="1500" w:right="1480"/>
        </w:sectPr>
      </w:pPr>
    </w:p>
    <w:p>
      <w:pPr>
        <w:tabs>
          <w:tab w:pos="4425" w:val="right" w:leader="none"/>
        </w:tabs>
        <w:spacing w:line="98" w:lineRule="auto" w:before="200"/>
        <w:ind w:left="1020" w:right="0" w:firstLine="0"/>
        <w:jc w:val="left"/>
        <w:rPr>
          <w:rFonts w:ascii="Symbola" w:hAnsi="Symbola" w:cs="Symbola" w:eastAsia="Symbola"/>
          <w:sz w:val="17"/>
          <w:szCs w:val="17"/>
        </w:rPr>
      </w:pPr>
      <w:r>
        <w:rPr/>
        <w:pict>
          <v:rect style="position:absolute;margin-left:269.880005pt;margin-top:18.482517pt;width:47.88pt;height:.841pt;mso-position-horizontal-relative:page;mso-position-vertical-relative:paragraph;z-index:15749120" filled="true" fillcolor="#000000" stroked="false">
            <v:fill type="solid"/>
            <w10:wrap type="none"/>
          </v:rect>
        </w:pict>
      </w:r>
      <w:r>
        <w:rPr>
          <w:rFonts w:ascii="Symbola" w:hAnsi="Symbola" w:cs="Symbola" w:eastAsia="Symbola"/>
          <w:w w:val="81"/>
          <w:position w:val="-13"/>
          <w:sz w:val="24"/>
          <w:szCs w:val="24"/>
        </w:rPr>
        <w:t>𝑐</w:t>
      </w:r>
      <w:r>
        <w:rPr>
          <w:rFonts w:ascii="Symbola" w:hAnsi="Symbola" w:cs="Symbola" w:eastAsia="Symbola"/>
          <w:position w:val="-13"/>
          <w:sz w:val="24"/>
          <w:szCs w:val="24"/>
        </w:rPr>
        <w:t> </w:t>
      </w:r>
      <w:r>
        <w:rPr>
          <w:rFonts w:ascii="Symbola" w:hAnsi="Symbola" w:cs="Symbola" w:eastAsia="Symbola"/>
          <w:spacing w:val="-20"/>
          <w:position w:val="-13"/>
          <w:sz w:val="24"/>
          <w:szCs w:val="24"/>
        </w:rPr>
        <w:t> </w:t>
      </w:r>
      <w:r>
        <w:rPr>
          <w:rFonts w:ascii="Symbola" w:hAnsi="Symbola" w:cs="Symbola" w:eastAsia="Symbola"/>
          <w:spacing w:val="-1"/>
          <w:w w:val="49"/>
          <w:position w:val="-13"/>
          <w:sz w:val="24"/>
          <w:szCs w:val="24"/>
        </w:rPr>
        <w:t>�</w:t>
      </w:r>
      <w:r>
        <w:rPr>
          <w:rFonts w:ascii="Symbola" w:hAnsi="Symbola" w:cs="Symbola" w:eastAsia="Symbola"/>
          <w:w w:val="107"/>
          <w:sz w:val="17"/>
          <w:szCs w:val="17"/>
          <w:u w:val="single"/>
        </w:rPr>
        <w:t>m</w:t>
      </w:r>
      <w:r>
        <w:rPr>
          <w:rFonts w:ascii="Symbola" w:hAnsi="Symbola" w:cs="Symbola" w:eastAsia="Symbola"/>
          <w:spacing w:val="1"/>
          <w:w w:val="116"/>
          <w:sz w:val="17"/>
          <w:szCs w:val="17"/>
          <w:u w:val="single"/>
        </w:rPr>
        <w:t>o</w:t>
      </w:r>
      <w:r>
        <w:rPr>
          <w:rFonts w:ascii="Symbola" w:hAnsi="Symbola" w:cs="Symbola" w:eastAsia="Symbola"/>
          <w:spacing w:val="-2"/>
          <w:w w:val="118"/>
          <w:sz w:val="17"/>
          <w:szCs w:val="17"/>
          <w:u w:val="single"/>
        </w:rPr>
        <w:t>l</w:t>
      </w:r>
      <w:r>
        <w:rPr>
          <w:rFonts w:ascii="Symbola" w:hAnsi="Symbola" w:cs="Symbola" w:eastAsia="Symbola"/>
          <w:spacing w:val="-1"/>
          <w:w w:val="118"/>
          <w:sz w:val="17"/>
          <w:szCs w:val="17"/>
          <w:u w:val="single"/>
        </w:rPr>
        <w:t>e</w:t>
      </w:r>
      <w:r>
        <w:rPr>
          <w:rFonts w:ascii="Symbola" w:hAnsi="Symbola" w:cs="Symbola" w:eastAsia="Symbola"/>
          <w:w w:val="124"/>
          <w:sz w:val="17"/>
          <w:szCs w:val="17"/>
          <w:u w:val="single"/>
        </w:rPr>
        <w:t>s</w:t>
      </w:r>
      <w:r>
        <w:rPr>
          <w:rFonts w:ascii="Symbola" w:hAnsi="Symbola" w:cs="Symbola" w:eastAsia="Symbola"/>
          <w:w w:val="49"/>
          <w:position w:val="-13"/>
          <w:sz w:val="24"/>
          <w:szCs w:val="24"/>
        </w:rPr>
        <w:t>�</w:t>
      </w:r>
      <w:r>
        <w:rPr>
          <w:rFonts w:ascii="Symbola" w:hAnsi="Symbola" w:cs="Symbola" w:eastAsia="Symbola"/>
          <w:spacing w:val="4"/>
          <w:position w:val="-13"/>
          <w:sz w:val="24"/>
          <w:szCs w:val="24"/>
        </w:rPr>
        <w:t> </w:t>
      </w:r>
      <w:r>
        <w:rPr>
          <w:rFonts w:ascii="Symbola" w:hAnsi="Symbola" w:cs="Symbola" w:eastAsia="Symbola"/>
          <w:w w:val="96"/>
          <w:position w:val="-13"/>
          <w:sz w:val="24"/>
          <w:szCs w:val="24"/>
        </w:rPr>
        <w:t>=</w:t>
      </w:r>
      <w:r>
        <w:rPr>
          <w:rFonts w:ascii="Symbola" w:hAnsi="Symbola" w:cs="Symbola" w:eastAsia="Symbola"/>
          <w:position w:val="-13"/>
          <w:sz w:val="24"/>
          <w:szCs w:val="24"/>
        </w:rPr>
        <w:t> </w:t>
      </w:r>
      <w:r>
        <w:rPr>
          <w:rFonts w:ascii="Symbola" w:hAnsi="Symbola" w:cs="Symbola" w:eastAsia="Symbola"/>
          <w:spacing w:val="-2"/>
          <w:position w:val="-13"/>
          <w:sz w:val="24"/>
          <w:szCs w:val="24"/>
        </w:rPr>
        <w:t> </w:t>
      </w:r>
      <w:r>
        <w:rPr>
          <w:rFonts w:ascii="Symbola" w:hAnsi="Symbola" w:cs="Symbola" w:eastAsia="Symbola"/>
          <w:w w:val="101"/>
          <w:position w:val="-13"/>
          <w:sz w:val="24"/>
          <w:szCs w:val="24"/>
        </w:rPr>
        <w:t>𝑛</w:t>
      </w:r>
      <w:r>
        <w:rPr>
          <w:rFonts w:ascii="Symbola" w:hAnsi="Symbola" w:cs="Symbola" w:eastAsia="Symbola"/>
          <w:position w:val="-13"/>
          <w:sz w:val="24"/>
          <w:szCs w:val="24"/>
        </w:rPr>
        <w:t> </w:t>
      </w:r>
      <w:r>
        <w:rPr>
          <w:rFonts w:ascii="Symbola" w:hAnsi="Symbola" w:cs="Symbola" w:eastAsia="Symbola"/>
          <w:spacing w:val="-23"/>
          <w:position w:val="-13"/>
          <w:sz w:val="24"/>
          <w:szCs w:val="24"/>
        </w:rPr>
        <w:t> </w:t>
      </w:r>
      <w:r>
        <w:rPr>
          <w:rFonts w:ascii="Symbola" w:hAnsi="Symbola" w:cs="Symbola" w:eastAsia="Symbola"/>
          <w:spacing w:val="-1"/>
          <w:w w:val="49"/>
          <w:position w:val="-13"/>
          <w:sz w:val="24"/>
          <w:szCs w:val="24"/>
        </w:rPr>
        <w:t>�</w:t>
      </w:r>
      <w:r>
        <w:rPr>
          <w:rFonts w:ascii="Symbola" w:hAnsi="Symbola" w:cs="Symbola" w:eastAsia="Symbola"/>
          <w:w w:val="107"/>
          <w:sz w:val="17"/>
          <w:szCs w:val="17"/>
          <w:u w:val="single"/>
        </w:rPr>
        <w:t>m</w:t>
      </w:r>
      <w:r>
        <w:rPr>
          <w:rFonts w:ascii="Symbola" w:hAnsi="Symbola" w:cs="Symbola" w:eastAsia="Symbola"/>
          <w:spacing w:val="1"/>
          <w:w w:val="116"/>
          <w:sz w:val="17"/>
          <w:szCs w:val="17"/>
          <w:u w:val="single"/>
        </w:rPr>
        <w:t>o</w:t>
      </w:r>
      <w:r>
        <w:rPr>
          <w:rFonts w:ascii="Symbola" w:hAnsi="Symbola" w:cs="Symbola" w:eastAsia="Symbola"/>
          <w:spacing w:val="1"/>
          <w:w w:val="112"/>
          <w:sz w:val="17"/>
          <w:szCs w:val="17"/>
          <w:u w:val="single"/>
        </w:rPr>
        <w:t>l</w:t>
      </w:r>
      <w:r>
        <w:rPr>
          <w:rFonts w:ascii="Symbola" w:hAnsi="Symbola" w:cs="Symbola" w:eastAsia="Symbola"/>
          <w:spacing w:val="-1"/>
          <w:w w:val="116"/>
          <w:sz w:val="17"/>
          <w:szCs w:val="17"/>
          <w:u w:val="single"/>
        </w:rPr>
        <w:t>e</w:t>
      </w:r>
      <w:r>
        <w:rPr>
          <w:rFonts w:ascii="Symbola" w:hAnsi="Symbola" w:cs="Symbola" w:eastAsia="Symbola"/>
          <w:spacing w:val="-2"/>
          <w:w w:val="116"/>
          <w:sz w:val="17"/>
          <w:szCs w:val="17"/>
          <w:u w:val="single"/>
        </w:rPr>
        <w:t>c</w:t>
      </w:r>
      <w:r>
        <w:rPr>
          <w:rFonts w:ascii="Symbola" w:hAnsi="Symbola" w:cs="Symbola" w:eastAsia="Symbola"/>
          <w:spacing w:val="-1"/>
          <w:w w:val="109"/>
          <w:sz w:val="17"/>
          <w:szCs w:val="17"/>
          <w:u w:val="single"/>
        </w:rPr>
        <w:t>u</w:t>
      </w:r>
      <w:r>
        <w:rPr>
          <w:rFonts w:ascii="Symbola" w:hAnsi="Symbola" w:cs="Symbola" w:eastAsia="Symbola"/>
          <w:spacing w:val="1"/>
          <w:w w:val="109"/>
          <w:sz w:val="17"/>
          <w:szCs w:val="17"/>
          <w:u w:val="single"/>
        </w:rPr>
        <w:t>l</w:t>
      </w:r>
      <w:r>
        <w:rPr>
          <w:rFonts w:ascii="Symbola" w:hAnsi="Symbola" w:cs="Symbola" w:eastAsia="Symbola"/>
          <w:spacing w:val="-1"/>
          <w:w w:val="123"/>
          <w:sz w:val="17"/>
          <w:szCs w:val="17"/>
          <w:u w:val="single"/>
        </w:rPr>
        <w:t>e</w:t>
      </w:r>
      <w:r>
        <w:rPr>
          <w:rFonts w:ascii="Symbola" w:hAnsi="Symbola" w:cs="Symbola" w:eastAsia="Symbola"/>
          <w:w w:val="123"/>
          <w:sz w:val="17"/>
          <w:szCs w:val="17"/>
          <w:u w:val="single"/>
        </w:rPr>
        <w:t>s</w:t>
      </w:r>
      <w:r>
        <w:rPr>
          <w:rFonts w:ascii="Symbola" w:hAnsi="Symbola" w:cs="Symbola" w:eastAsia="Symbola"/>
          <w:w w:val="49"/>
          <w:position w:val="-13"/>
          <w:sz w:val="24"/>
          <w:szCs w:val="24"/>
        </w:rPr>
        <w:t>�</w:t>
      </w:r>
      <w:r>
        <w:rPr>
          <w:rFonts w:ascii="Symbola" w:hAnsi="Symbola" w:cs="Symbola" w:eastAsia="Symbola"/>
          <w:spacing w:val="-10"/>
          <w:position w:val="-13"/>
          <w:sz w:val="24"/>
          <w:szCs w:val="24"/>
        </w:rPr>
        <w:t> </w:t>
      </w:r>
      <w:r>
        <w:rPr>
          <w:rFonts w:ascii="Symbola" w:hAnsi="Symbola" w:cs="Symbola" w:eastAsia="Symbola"/>
          <w:w w:val="91"/>
          <w:position w:val="-13"/>
          <w:sz w:val="24"/>
          <w:szCs w:val="24"/>
        </w:rPr>
        <w:t>×</w:t>
      </w:r>
      <w:r>
        <w:rPr>
          <w:rFonts w:ascii="Symbola" w:hAnsi="Symbola" w:cs="Symbola" w:eastAsia="Symbola"/>
          <w:w w:val="88"/>
          <w:position w:val="-13"/>
          <w:sz w:val="24"/>
          <w:szCs w:val="24"/>
        </w:rPr>
        <w:t> </w:t>
      </w:r>
      <w:r>
        <w:rPr>
          <w:rFonts w:ascii="Symbola" w:hAnsi="Symbola" w:cs="Symbola" w:eastAsia="Symbola"/>
          <w:position w:val="-13"/>
          <w:sz w:val="24"/>
          <w:szCs w:val="24"/>
        </w:rPr>
        <w:tab/>
      </w:r>
      <w:r>
        <w:rPr>
          <w:rFonts w:ascii="Symbola" w:hAnsi="Symbola" w:cs="Symbola" w:eastAsia="Symbola"/>
          <w:w w:val="115"/>
          <w:sz w:val="17"/>
          <w:szCs w:val="17"/>
        </w:rPr>
        <w:t>1</w:t>
      </w:r>
    </w:p>
    <w:p>
      <w:pPr>
        <w:tabs>
          <w:tab w:pos="756" w:val="left" w:leader="none"/>
        </w:tabs>
        <w:spacing w:line="98" w:lineRule="auto" w:before="200"/>
        <w:ind w:left="430" w:right="0" w:firstLine="0"/>
        <w:jc w:val="left"/>
        <w:rPr>
          <w:rFonts w:ascii="Symbola" w:hAnsi="Symbola" w:cs="Symbola" w:eastAsia="Symbola"/>
          <w:sz w:val="17"/>
          <w:szCs w:val="17"/>
        </w:rPr>
      </w:pPr>
      <w:r>
        <w:rPr/>
        <w:br w:type="column"/>
      </w:r>
      <w:r>
        <w:rPr>
          <w:rFonts w:ascii="Symbola" w:hAnsi="Symbola" w:cs="Symbola" w:eastAsia="Symbola"/>
          <w:w w:val="85"/>
          <w:position w:val="-13"/>
          <w:sz w:val="24"/>
          <w:szCs w:val="24"/>
        </w:rPr>
        <w:t>�</w:t>
        <w:tab/>
      </w:r>
      <w:r>
        <w:rPr>
          <w:rFonts w:ascii="Symbola" w:hAnsi="Symbola" w:cs="Symbola" w:eastAsia="Symbola"/>
          <w:spacing w:val="-5"/>
          <w:sz w:val="17"/>
          <w:szCs w:val="17"/>
        </w:rPr>
        <w:t>mole</w:t>
      </w:r>
    </w:p>
    <w:p>
      <w:pPr>
        <w:pStyle w:val="BodyText"/>
        <w:spacing w:line="247" w:lineRule="exact" w:before="137"/>
        <w:ind w:left="169"/>
        <w:rPr>
          <w:rFonts w:ascii="Symbola" w:hAnsi="Symbola" w:cs="Symbola" w:eastAsia="Symbola"/>
        </w:rPr>
      </w:pPr>
      <w:r>
        <w:rPr/>
        <w:br w:type="column"/>
      </w:r>
      <w:r>
        <w:rPr>
          <w:rFonts w:ascii="Symbola" w:hAnsi="Symbola" w:cs="Symbola" w:eastAsia="Symbola"/>
          <w:w w:val="49"/>
        </w:rPr>
        <w:t>�</w:t>
      </w:r>
      <w:r>
        <w:rPr>
          <w:rFonts w:ascii="Symbola" w:hAnsi="Symbola" w:cs="Symbola" w:eastAsia="Symbola"/>
          <w:spacing w:val="-8"/>
        </w:rPr>
        <w:t> </w:t>
      </w:r>
      <w:r>
        <w:rPr>
          <w:rFonts w:ascii="Symbola" w:hAnsi="Symbola" w:cs="Symbola" w:eastAsia="Symbola"/>
          <w:w w:val="91"/>
        </w:rPr>
        <w:t>×</w:t>
      </w:r>
      <w:r>
        <w:rPr>
          <w:rFonts w:ascii="Symbola" w:hAnsi="Symbola" w:cs="Symbola" w:eastAsia="Symbola"/>
          <w:spacing w:val="-9"/>
        </w:rPr>
        <w:t> </w:t>
      </w:r>
      <w:r>
        <w:rPr>
          <w:rFonts w:ascii="Symbola" w:hAnsi="Symbola" w:cs="Symbola" w:eastAsia="Symbola"/>
          <w:spacing w:val="-1"/>
          <w:w w:val="110"/>
        </w:rPr>
        <w:t>100</w:t>
      </w:r>
      <w:r>
        <w:rPr>
          <w:rFonts w:ascii="Symbola" w:hAnsi="Symbola" w:cs="Symbola" w:eastAsia="Symbola"/>
          <w:w w:val="110"/>
        </w:rPr>
        <w:t>0</w:t>
      </w:r>
      <w:r>
        <w:rPr>
          <w:rFonts w:ascii="Symbola" w:hAnsi="Symbola" w:cs="Symbola" w:eastAsia="Symbola"/>
        </w:rPr>
        <w:t> </w:t>
      </w:r>
      <w:r>
        <w:rPr>
          <w:rFonts w:ascii="Symbola" w:hAnsi="Symbola" w:cs="Symbola" w:eastAsia="Symbola"/>
          <w:spacing w:val="-23"/>
        </w:rPr>
        <w:t> </w:t>
      </w:r>
      <w:r>
        <w:rPr>
          <w:rFonts w:ascii="Symbola" w:hAnsi="Symbola" w:cs="Symbola" w:eastAsia="Symbola"/>
          <w:spacing w:val="7"/>
          <w:w w:val="49"/>
        </w:rPr>
        <w:t>�</w:t>
      </w:r>
      <w:r>
        <w:rPr>
          <w:rFonts w:ascii="Symbola" w:hAnsi="Symbola" w:cs="Symbola" w:eastAsia="Symbola"/>
          <w:spacing w:val="1"/>
          <w:w w:val="97"/>
          <w:vertAlign w:val="superscript"/>
        </w:rPr>
        <w:t>c</w:t>
      </w:r>
      <w:r>
        <w:rPr>
          <w:rFonts w:ascii="Symbola" w:hAnsi="Symbola" w:cs="Symbola" w:eastAsia="Symbola"/>
          <w:w w:val="97"/>
          <w:vertAlign w:val="superscript"/>
        </w:rPr>
        <w:t>m</w:t>
      </w:r>
      <w:r>
        <w:rPr>
          <w:rFonts w:ascii="Symbola" w:hAnsi="Symbola" w:cs="Symbola" w:eastAsia="Symbola"/>
          <w:w w:val="118"/>
          <w:position w:val="20"/>
          <w:sz w:val="14"/>
          <w:szCs w:val="14"/>
          <w:vertAlign w:val="baseline"/>
        </w:rPr>
        <w:t>3</w:t>
      </w:r>
      <w:r>
        <w:rPr>
          <w:rFonts w:ascii="Symbola" w:hAnsi="Symbola" w:cs="Symbola" w:eastAsia="Symbola"/>
          <w:spacing w:val="-20"/>
          <w:position w:val="20"/>
          <w:sz w:val="14"/>
          <w:szCs w:val="14"/>
          <w:vertAlign w:val="baseline"/>
        </w:rPr>
        <w:t> </w:t>
      </w:r>
      <w:r>
        <w:rPr>
          <w:rFonts w:ascii="Symbola" w:hAnsi="Symbola" w:cs="Symbola" w:eastAsia="Symbola"/>
          <w:w w:val="49"/>
          <w:vertAlign w:val="baseline"/>
        </w:rPr>
        <w:t>�</w:t>
      </w:r>
    </w:p>
    <w:p>
      <w:pPr>
        <w:pStyle w:val="BodyText"/>
        <w:spacing w:line="20" w:lineRule="exact"/>
        <w:ind w:left="1306"/>
        <w:rPr>
          <w:rFonts w:ascii="Symbola"/>
          <w:sz w:val="2"/>
        </w:rPr>
      </w:pPr>
      <w:r>
        <w:rPr>
          <w:rFonts w:ascii="Symbola"/>
          <w:sz w:val="2"/>
        </w:rPr>
        <w:pict>
          <v:group style="width:17.55pt;height:.85pt;mso-position-horizontal-relative:char;mso-position-vertical-relative:line" coordorigin="0,0" coordsize="351,17">
            <v:rect style="position:absolute;left:0;top:0;width:351;height:17" filled="true" fillcolor="#000000" stroked="false">
              <v:fill type="solid"/>
            </v:rect>
          </v:group>
        </w:pict>
      </w:r>
      <w:r>
        <w:rPr>
          <w:rFonts w:ascii="Symbola"/>
          <w:sz w:val="2"/>
        </w:rPr>
      </w:r>
    </w:p>
    <w:p>
      <w:pPr>
        <w:spacing w:after="0" w:line="20" w:lineRule="exact"/>
        <w:rPr>
          <w:rFonts w:ascii="Symbola"/>
          <w:sz w:val="2"/>
        </w:rPr>
        <w:sectPr>
          <w:pgSz w:w="11910" w:h="16840"/>
          <w:pgMar w:header="722" w:footer="748" w:top="1300" w:bottom="940" w:left="1500" w:right="1480"/>
          <w:cols w:num="3" w:equalWidth="0">
            <w:col w:w="4426" w:space="40"/>
            <w:col w:w="1169" w:space="39"/>
            <w:col w:w="3256"/>
          </w:cols>
        </w:sectPr>
      </w:pPr>
    </w:p>
    <w:p>
      <w:pPr>
        <w:spacing w:before="29"/>
        <w:ind w:left="0" w:right="0" w:firstLine="0"/>
        <w:jc w:val="right"/>
        <w:rPr>
          <w:rFonts w:ascii="Symbola"/>
          <w:sz w:val="17"/>
        </w:rPr>
      </w:pPr>
      <w:r>
        <w:rPr/>
        <w:pict>
          <v:rect style="position:absolute;margin-left:325.679993pt;margin-top:-1.723676pt;width:41.4pt;height:.841pt;mso-position-horizontal-relative:page;mso-position-vertical-relative:paragraph;z-index:15749632" filled="true" fillcolor="#000000" stroked="false">
            <v:fill type="solid"/>
            <w10:wrap type="none"/>
          </v:rect>
        </w:pict>
      </w:r>
      <w:r>
        <w:rPr>
          <w:rFonts w:ascii="Symbola"/>
          <w:w w:val="115"/>
          <w:sz w:val="17"/>
        </w:rPr>
        <w:t>litre</w:t>
      </w:r>
    </w:p>
    <w:p>
      <w:pPr>
        <w:spacing w:before="3"/>
        <w:ind w:left="0" w:right="0" w:firstLine="0"/>
        <w:jc w:val="right"/>
        <w:rPr>
          <w:rFonts w:ascii="Symbola"/>
          <w:sz w:val="14"/>
        </w:rPr>
      </w:pPr>
      <w:r>
        <w:rPr/>
        <w:br w:type="column"/>
      </w:r>
      <w:r>
        <w:rPr>
          <w:rFonts w:ascii="Symbola"/>
          <w:w w:val="110"/>
          <w:sz w:val="17"/>
        </w:rPr>
        <w:t>cm</w:t>
      </w:r>
      <w:r>
        <w:rPr>
          <w:rFonts w:ascii="Symbola"/>
          <w:w w:val="110"/>
          <w:position w:val="5"/>
          <w:sz w:val="14"/>
        </w:rPr>
        <w:t>3</w:t>
      </w:r>
    </w:p>
    <w:p>
      <w:pPr>
        <w:spacing w:before="3"/>
        <w:ind w:left="609" w:right="0" w:firstLine="0"/>
        <w:jc w:val="left"/>
        <w:rPr>
          <w:rFonts w:ascii="Symbola" w:hAnsi="Symbola"/>
          <w:sz w:val="14"/>
        </w:rPr>
      </w:pPr>
      <w:r>
        <w:rPr/>
        <w:br w:type="column"/>
      </w:r>
      <w:r>
        <w:rPr>
          <w:rFonts w:ascii="Symbola" w:hAnsi="Symbola"/>
          <w:w w:val="110"/>
          <w:sz w:val="17"/>
        </w:rPr>
        <w:t>6.022 ×10</w:t>
      </w:r>
      <w:r>
        <w:rPr>
          <w:rFonts w:ascii="Symbola" w:hAnsi="Symbola"/>
          <w:w w:val="110"/>
          <w:position w:val="5"/>
          <w:sz w:val="14"/>
        </w:rPr>
        <w:t>23</w:t>
      </w:r>
    </w:p>
    <w:p>
      <w:pPr>
        <w:spacing w:before="29"/>
        <w:ind w:left="122" w:right="0" w:firstLine="0"/>
        <w:jc w:val="left"/>
        <w:rPr>
          <w:rFonts w:ascii="Symbola"/>
          <w:sz w:val="17"/>
        </w:rPr>
      </w:pPr>
      <w:r>
        <w:rPr/>
        <w:br w:type="column"/>
      </w:r>
      <w:r>
        <w:rPr>
          <w:rFonts w:ascii="Symbola"/>
          <w:spacing w:val="-1"/>
          <w:w w:val="115"/>
          <w:sz w:val="17"/>
        </w:rPr>
        <w:t>molecules</w:t>
      </w:r>
    </w:p>
    <w:p>
      <w:pPr>
        <w:spacing w:before="29"/>
        <w:ind w:left="1079" w:right="1575" w:firstLine="0"/>
        <w:jc w:val="center"/>
        <w:rPr>
          <w:rFonts w:ascii="Symbola"/>
          <w:sz w:val="17"/>
        </w:rPr>
      </w:pPr>
      <w:r>
        <w:rPr/>
        <w:br w:type="column"/>
      </w:r>
      <w:r>
        <w:rPr>
          <w:rFonts w:ascii="Symbola"/>
          <w:w w:val="115"/>
          <w:sz w:val="17"/>
        </w:rPr>
        <w:t>litre</w:t>
      </w:r>
    </w:p>
    <w:p>
      <w:pPr>
        <w:spacing w:after="0"/>
        <w:jc w:val="center"/>
        <w:rPr>
          <w:rFonts w:ascii="Symbola"/>
          <w:sz w:val="17"/>
        </w:rPr>
        <w:sectPr>
          <w:type w:val="continuous"/>
          <w:pgSz w:w="11910" w:h="16840"/>
          <w:pgMar w:top="1300" w:bottom="940" w:left="1500" w:right="1480"/>
          <w:cols w:num="5" w:equalWidth="0">
            <w:col w:w="1769" w:space="40"/>
            <w:col w:w="1441" w:space="39"/>
            <w:col w:w="1564" w:space="39"/>
            <w:col w:w="954" w:space="39"/>
            <w:col w:w="3045"/>
          </w:cols>
        </w:sectPr>
      </w:pPr>
    </w:p>
    <w:p>
      <w:pPr>
        <w:pStyle w:val="BodyText"/>
        <w:spacing w:before="8"/>
        <w:rPr>
          <w:rFonts w:ascii="Symbola"/>
          <w:sz w:val="21"/>
        </w:rPr>
      </w:pPr>
    </w:p>
    <w:p>
      <w:pPr>
        <w:pStyle w:val="BodyText"/>
        <w:spacing w:before="90"/>
        <w:ind w:left="300"/>
      </w:pPr>
      <w:r>
        <w:rPr/>
        <w:t>Substituting for </w:t>
      </w:r>
      <w:r>
        <w:rPr>
          <w:i/>
        </w:rPr>
        <w:t>n </w:t>
      </w:r>
      <w:r>
        <w:rPr/>
        <w:t>in equation 4.4 and converting natural logarithm, </w:t>
      </w:r>
      <w:r>
        <w:rPr>
          <w:i/>
        </w:rPr>
        <w:t>ln </w:t>
      </w:r>
      <w:r>
        <w:rPr/>
        <w:t>into log</w:t>
      </w:r>
      <w:r>
        <w:rPr>
          <w:vertAlign w:val="subscript"/>
        </w:rPr>
        <w:t>10</w:t>
      </w:r>
      <w:r>
        <w:rPr>
          <w:vertAlign w:val="baseline"/>
        </w:rPr>
        <w:t> gives:</w:t>
      </w:r>
    </w:p>
    <w:p>
      <w:pPr>
        <w:pStyle w:val="BodyText"/>
        <w:spacing w:before="2"/>
        <w:rPr>
          <w:sz w:val="19"/>
        </w:rPr>
      </w:pPr>
    </w:p>
    <w:p>
      <w:pPr>
        <w:spacing w:after="0"/>
        <w:rPr>
          <w:sz w:val="19"/>
        </w:rPr>
        <w:sectPr>
          <w:type w:val="continuous"/>
          <w:pgSz w:w="11910" w:h="16840"/>
          <w:pgMar w:top="1300" w:bottom="940" w:left="1500" w:right="1480"/>
        </w:sectPr>
      </w:pPr>
    </w:p>
    <w:p>
      <w:pPr>
        <w:pStyle w:val="BodyText"/>
        <w:spacing w:line="207" w:lineRule="exact" w:before="216"/>
        <w:ind w:left="300"/>
        <w:rPr>
          <w:rFonts w:ascii="Symbola" w:hAnsi="Symbola" w:eastAsia="Symbola"/>
        </w:rPr>
      </w:pPr>
      <w:r>
        <w:rPr/>
        <w:pict>
          <v:rect style="position:absolute;margin-left:164.759995pt;margin-top:16.370153pt;width:7.68pt;height:.84pt;mso-position-horizontal-relative:page;mso-position-vertical-relative:paragraph;z-index:-18517504" filled="true" fillcolor="#000000" stroked="false">
            <v:fill type="solid"/>
            <w10:wrap type="none"/>
          </v:rect>
        </w:pict>
      </w:r>
      <w:r>
        <w:rPr>
          <w:rFonts w:ascii="Symbola" w:hAnsi="Symbola" w:eastAsia="Symbola"/>
        </w:rPr>
        <w:t>− 2.303 × log </w:t>
      </w:r>
      <w:r>
        <w:rPr>
          <w:rFonts w:ascii="Symbola" w:hAnsi="Symbola" w:eastAsia="Symbola"/>
          <w:vertAlign w:val="superscript"/>
        </w:rPr>
        <w:t>𝐼</w:t>
      </w:r>
    </w:p>
    <w:p>
      <w:pPr>
        <w:spacing w:line="180" w:lineRule="auto" w:before="0"/>
        <w:ind w:left="0" w:right="0" w:firstLine="0"/>
        <w:jc w:val="right"/>
        <w:rPr>
          <w:rFonts w:ascii="Symbola" w:eastAsia="Symbola"/>
          <w:sz w:val="14"/>
        </w:rPr>
      </w:pPr>
      <w:r>
        <w:rPr>
          <w:rFonts w:ascii="Symbola" w:eastAsia="Symbola"/>
          <w:w w:val="90"/>
          <w:sz w:val="17"/>
        </w:rPr>
        <w:t>𝐼</w:t>
      </w:r>
      <w:r>
        <w:rPr>
          <w:rFonts w:ascii="Symbola" w:eastAsia="Symbola"/>
          <w:w w:val="90"/>
          <w:position w:val="-2"/>
          <w:sz w:val="14"/>
        </w:rPr>
        <w:t>𝑜</w:t>
      </w:r>
    </w:p>
    <w:p>
      <w:pPr>
        <w:pStyle w:val="BodyText"/>
        <w:spacing w:before="180"/>
        <w:ind w:left="33"/>
      </w:pPr>
      <w:r>
        <w:rPr/>
        <w:br w:type="column"/>
      </w:r>
      <w:r>
        <w:rPr>
          <w:rFonts w:ascii="Symbola" w:hAnsi="Symbola" w:eastAsia="Symbola"/>
        </w:rPr>
        <w:t>= 𝜎 × {𝑐 × 6.022 × 10</w:t>
      </w:r>
      <w:r>
        <w:rPr>
          <w:rFonts w:ascii="Symbola" w:hAnsi="Symbola" w:eastAsia="Symbola"/>
          <w:vertAlign w:val="superscript"/>
        </w:rPr>
        <w:t>20</w:t>
      </w:r>
      <w:r>
        <w:rPr>
          <w:rFonts w:ascii="Symbola" w:hAnsi="Symbola" w:eastAsia="Symbola"/>
          <w:vertAlign w:val="baseline"/>
        </w:rPr>
        <w:t>} × </w:t>
      </w:r>
      <w:r>
        <w:rPr>
          <w:rFonts w:ascii="Symbola" w:hAnsi="Symbola" w:eastAsia="Symbola"/>
          <w:w w:val="95"/>
          <w:vertAlign w:val="baseline"/>
        </w:rPr>
        <w:t>𝑙 </w:t>
      </w:r>
      <w:r>
        <w:rPr>
          <w:vertAlign w:val="baseline"/>
        </w:rPr>
        <w:t>·························· (4.5)</w:t>
      </w:r>
    </w:p>
    <w:p>
      <w:pPr>
        <w:spacing w:after="0"/>
        <w:sectPr>
          <w:type w:val="continuous"/>
          <w:pgSz w:w="11910" w:h="16840"/>
          <w:pgMar w:top="1300" w:bottom="940" w:left="1500" w:right="1480"/>
          <w:cols w:num="2" w:equalWidth="0">
            <w:col w:w="1941" w:space="40"/>
            <w:col w:w="6949"/>
          </w:cols>
        </w:sectPr>
      </w:pPr>
    </w:p>
    <w:p>
      <w:pPr>
        <w:pStyle w:val="BodyText"/>
        <w:spacing w:before="5"/>
        <w:rPr>
          <w:sz w:val="18"/>
        </w:rPr>
      </w:pPr>
    </w:p>
    <w:p>
      <w:pPr>
        <w:spacing w:after="0"/>
        <w:rPr>
          <w:sz w:val="18"/>
        </w:rPr>
        <w:sectPr>
          <w:type w:val="continuous"/>
          <w:pgSz w:w="11910" w:h="16840"/>
          <w:pgMar w:top="1300" w:bottom="940" w:left="1500" w:right="1480"/>
        </w:sectPr>
      </w:pPr>
    </w:p>
    <w:p>
      <w:pPr>
        <w:pStyle w:val="BodyText"/>
        <w:spacing w:line="207" w:lineRule="exact" w:before="249"/>
        <w:ind w:left="300"/>
        <w:rPr>
          <w:rFonts w:ascii="Symbola" w:hAnsi="Symbola" w:eastAsia="Symbola"/>
        </w:rPr>
      </w:pPr>
      <w:r>
        <w:rPr/>
        <w:pict>
          <v:rect style="position:absolute;margin-left:116.519997pt;margin-top:18.020176pt;width:7.68pt;height:.84pt;mso-position-horizontal-relative:page;mso-position-vertical-relative:paragraph;z-index:-18516992" filled="true" fillcolor="#000000" stroked="false">
            <v:fill type="solid"/>
            <w10:wrap type="none"/>
          </v:rect>
        </w:pict>
      </w:r>
      <w:r>
        <w:rPr>
          <w:rFonts w:ascii="Symbola" w:hAnsi="Symbola" w:eastAsia="Symbola"/>
          <w:w w:val="95"/>
        </w:rPr>
        <w:t>−log </w:t>
      </w:r>
      <w:r>
        <w:rPr>
          <w:rFonts w:ascii="Symbola" w:hAnsi="Symbola" w:eastAsia="Symbola"/>
          <w:w w:val="95"/>
          <w:vertAlign w:val="superscript"/>
        </w:rPr>
        <w:t>𝐼</w:t>
      </w:r>
    </w:p>
    <w:p>
      <w:pPr>
        <w:spacing w:line="180" w:lineRule="auto" w:before="0"/>
        <w:ind w:left="0" w:right="0" w:firstLine="0"/>
        <w:jc w:val="right"/>
        <w:rPr>
          <w:rFonts w:ascii="Symbola" w:eastAsia="Symbola"/>
          <w:sz w:val="14"/>
        </w:rPr>
      </w:pPr>
      <w:r>
        <w:rPr>
          <w:rFonts w:ascii="Symbola" w:eastAsia="Symbola"/>
          <w:w w:val="90"/>
          <w:sz w:val="17"/>
        </w:rPr>
        <w:t>𝐼</w:t>
      </w:r>
      <w:r>
        <w:rPr>
          <w:rFonts w:ascii="Symbola" w:eastAsia="Symbola"/>
          <w:w w:val="90"/>
          <w:position w:val="-2"/>
          <w:sz w:val="14"/>
        </w:rPr>
        <w:t>𝑜</w:t>
      </w:r>
    </w:p>
    <w:p>
      <w:pPr>
        <w:pStyle w:val="BodyText"/>
        <w:tabs>
          <w:tab w:pos="4334" w:val="left" w:leader="none"/>
        </w:tabs>
        <w:spacing w:line="329" w:lineRule="exact" w:before="127"/>
        <w:ind w:left="33"/>
      </w:pPr>
      <w:r>
        <w:rPr/>
        <w:br w:type="column"/>
      </w:r>
      <w:r>
        <w:rPr>
          <w:rFonts w:ascii="Symbola" w:hAnsi="Symbola" w:cs="Symbola" w:eastAsia="Symbola"/>
          <w:w w:val="96"/>
        </w:rPr>
        <w:t>=</w:t>
      </w:r>
      <w:r>
        <w:rPr>
          <w:rFonts w:ascii="Symbola" w:hAnsi="Symbola" w:cs="Symbola" w:eastAsia="Symbola"/>
        </w:rPr>
        <w:t>  </w:t>
      </w:r>
      <w:r>
        <w:rPr>
          <w:rFonts w:ascii="Symbola" w:hAnsi="Symbola" w:cs="Symbola" w:eastAsia="Symbola"/>
          <w:w w:val="103"/>
        </w:rPr>
        <w:t>𝜎</w:t>
      </w:r>
      <w:r>
        <w:rPr>
          <w:rFonts w:ascii="Symbola" w:hAnsi="Symbola" w:cs="Symbola" w:eastAsia="Symbola"/>
        </w:rPr>
        <w:t> </w:t>
      </w:r>
      <w:r>
        <w:rPr>
          <w:rFonts w:ascii="Symbola" w:hAnsi="Symbola" w:cs="Symbola" w:eastAsia="Symbola"/>
          <w:spacing w:val="-9"/>
        </w:rPr>
        <w:t> </w:t>
      </w:r>
      <w:r>
        <w:rPr>
          <w:rFonts w:ascii="Symbola" w:hAnsi="Symbola" w:cs="Symbola" w:eastAsia="Symbola"/>
          <w:w w:val="91"/>
        </w:rPr>
        <w:t>×</w:t>
      </w:r>
      <w:r>
        <w:rPr>
          <w:rFonts w:ascii="Symbola" w:hAnsi="Symbola" w:cs="Symbola" w:eastAsia="Symbola"/>
          <w:spacing w:val="-6"/>
        </w:rPr>
        <w:t> </w:t>
      </w:r>
      <w:r>
        <w:rPr>
          <w:rFonts w:ascii="Symbola" w:hAnsi="Symbola" w:cs="Symbola" w:eastAsia="Symbola"/>
          <w:w w:val="81"/>
        </w:rPr>
        <w:t>𝑐</w:t>
      </w:r>
      <w:r>
        <w:rPr>
          <w:rFonts w:ascii="Symbola" w:hAnsi="Symbola" w:cs="Symbola" w:eastAsia="Symbola"/>
        </w:rPr>
        <w:t> </w:t>
      </w:r>
      <w:r>
        <w:rPr>
          <w:rFonts w:ascii="Symbola" w:hAnsi="Symbola" w:cs="Symbola" w:eastAsia="Symbola"/>
          <w:spacing w:val="-8"/>
        </w:rPr>
        <w:t> </w:t>
      </w:r>
      <w:r>
        <w:rPr>
          <w:rFonts w:ascii="Symbola" w:hAnsi="Symbola" w:cs="Symbola" w:eastAsia="Symbola"/>
          <w:w w:val="91"/>
        </w:rPr>
        <w:t>×</w:t>
      </w:r>
      <w:r>
        <w:rPr>
          <w:rFonts w:ascii="Symbola" w:hAnsi="Symbola" w:cs="Symbola" w:eastAsia="Symbola"/>
          <w:spacing w:val="-6"/>
        </w:rPr>
        <w:t> </w:t>
      </w:r>
      <w:r>
        <w:rPr>
          <w:rFonts w:ascii="Symbola" w:hAnsi="Symbola" w:cs="Symbola" w:eastAsia="Symbola"/>
          <w:spacing w:val="-1"/>
          <w:w w:val="49"/>
        </w:rPr>
        <w:t>�</w:t>
      </w:r>
      <w:r>
        <w:rPr>
          <w:rFonts w:ascii="Symbola" w:hAnsi="Symbola" w:cs="Symbola" w:eastAsia="Symbola"/>
          <w:spacing w:val="-1"/>
          <w:w w:val="103"/>
          <w:vertAlign w:val="superscript"/>
        </w:rPr>
        <w:t>6</w:t>
      </w:r>
      <w:r>
        <w:rPr>
          <w:rFonts w:ascii="Symbola" w:hAnsi="Symbola" w:cs="Symbola" w:eastAsia="Symbola"/>
          <w:spacing w:val="1"/>
          <w:w w:val="73"/>
          <w:vertAlign w:val="superscript"/>
        </w:rPr>
        <w:t>.</w:t>
      </w:r>
      <w:r>
        <w:rPr>
          <w:rFonts w:ascii="Symbola" w:hAnsi="Symbola" w:cs="Symbola" w:eastAsia="Symbola"/>
          <w:spacing w:val="-1"/>
          <w:w w:val="103"/>
          <w:vertAlign w:val="superscript"/>
        </w:rPr>
        <w:t>02</w:t>
      </w:r>
      <w:r>
        <w:rPr>
          <w:rFonts w:ascii="Symbola" w:hAnsi="Symbola" w:cs="Symbola" w:eastAsia="Symbola"/>
          <w:w w:val="103"/>
          <w:vertAlign w:val="superscript"/>
        </w:rPr>
        <w:t>2</w:t>
      </w:r>
      <w:r>
        <w:rPr>
          <w:rFonts w:ascii="Symbola" w:hAnsi="Symbola" w:cs="Symbola" w:eastAsia="Symbola"/>
          <w:spacing w:val="-22"/>
          <w:vertAlign w:val="baseline"/>
        </w:rPr>
        <w:t> </w:t>
      </w:r>
      <w:r>
        <w:rPr>
          <w:rFonts w:ascii="Symbola" w:hAnsi="Symbola" w:cs="Symbola" w:eastAsia="Symbola"/>
          <w:spacing w:val="-2"/>
          <w:w w:val="82"/>
          <w:vertAlign w:val="superscript"/>
        </w:rPr>
        <w:t>×</w:t>
      </w:r>
      <w:r>
        <w:rPr>
          <w:rFonts w:ascii="Symbola" w:hAnsi="Symbola" w:cs="Symbola" w:eastAsia="Symbola"/>
          <w:spacing w:val="-1"/>
          <w:w w:val="103"/>
          <w:vertAlign w:val="superscript"/>
        </w:rPr>
        <w:t>1</w:t>
      </w:r>
      <w:r>
        <w:rPr>
          <w:rFonts w:ascii="Symbola" w:hAnsi="Symbola" w:cs="Symbola" w:eastAsia="Symbola"/>
          <w:w w:val="103"/>
          <w:vertAlign w:val="superscript"/>
        </w:rPr>
        <w:t>0</w:t>
      </w:r>
      <w:r>
        <w:rPr>
          <w:rFonts w:ascii="Symbola" w:hAnsi="Symbola" w:cs="Symbola" w:eastAsia="Symbola"/>
          <w:spacing w:val="1"/>
          <w:w w:val="118"/>
          <w:position w:val="20"/>
          <w:sz w:val="14"/>
          <w:szCs w:val="14"/>
          <w:vertAlign w:val="baseline"/>
        </w:rPr>
        <w:t>2</w:t>
      </w:r>
      <w:r>
        <w:rPr>
          <w:rFonts w:ascii="Symbola" w:hAnsi="Symbola" w:cs="Symbola" w:eastAsia="Symbola"/>
          <w:spacing w:val="8"/>
          <w:w w:val="118"/>
          <w:position w:val="20"/>
          <w:sz w:val="14"/>
          <w:szCs w:val="14"/>
          <w:vertAlign w:val="baseline"/>
        </w:rPr>
        <w:t>0</w:t>
      </w:r>
      <w:r>
        <w:rPr>
          <w:rFonts w:ascii="Symbola" w:hAnsi="Symbola" w:cs="Symbola" w:eastAsia="Symbola"/>
          <w:w w:val="49"/>
          <w:vertAlign w:val="baseline"/>
        </w:rPr>
        <w:t>�</w:t>
      </w:r>
      <w:r>
        <w:rPr>
          <w:rFonts w:ascii="Symbola" w:hAnsi="Symbola" w:cs="Symbola" w:eastAsia="Symbola"/>
          <w:spacing w:val="-10"/>
          <w:vertAlign w:val="baseline"/>
        </w:rPr>
        <w:t> </w:t>
      </w:r>
      <w:r>
        <w:rPr>
          <w:rFonts w:ascii="Symbola" w:hAnsi="Symbola" w:cs="Symbola" w:eastAsia="Symbola"/>
          <w:w w:val="91"/>
          <w:vertAlign w:val="baseline"/>
        </w:rPr>
        <w:t>×</w:t>
      </w:r>
      <w:r>
        <w:rPr>
          <w:rFonts w:ascii="Symbola" w:hAnsi="Symbola" w:cs="Symbola" w:eastAsia="Symbola"/>
          <w:vertAlign w:val="baseline"/>
        </w:rPr>
        <w:t> </w:t>
      </w:r>
      <w:r>
        <w:rPr>
          <w:rFonts w:ascii="Symbola" w:hAnsi="Symbola" w:cs="Symbola" w:eastAsia="Symbola"/>
          <w:spacing w:val="-14"/>
          <w:vertAlign w:val="baseline"/>
        </w:rPr>
        <w:t> </w:t>
      </w:r>
      <w:r>
        <w:rPr>
          <w:rFonts w:ascii="Symbola" w:hAnsi="Symbola" w:cs="Symbola" w:eastAsia="Symbola"/>
          <w:w w:val="56"/>
          <w:vertAlign w:val="baseline"/>
        </w:rPr>
        <w:t>𝑙</w:t>
      </w:r>
      <w:r>
        <w:rPr>
          <w:rFonts w:ascii="Symbola" w:hAnsi="Symbola" w:cs="Symbola" w:eastAsia="Symbola"/>
          <w:vertAlign w:val="baseline"/>
        </w:rPr>
        <w:tab/>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vertAlign w:val="baseline"/>
        </w:rPr>
        <w:t>·</w:t>
      </w:r>
      <w:r>
        <w:rPr>
          <w:spacing w:val="9"/>
          <w:vertAlign w:val="baseline"/>
        </w:rPr>
        <w:t> </w:t>
      </w:r>
      <w:r>
        <w:rPr>
          <w:spacing w:val="-1"/>
          <w:vertAlign w:val="baseline"/>
        </w:rPr>
        <w:t>(</w:t>
      </w:r>
      <w:r>
        <w:rPr>
          <w:vertAlign w:val="baseline"/>
        </w:rPr>
        <w:t>4</w:t>
      </w:r>
      <w:r>
        <w:rPr>
          <w:spacing w:val="2"/>
          <w:vertAlign w:val="baseline"/>
        </w:rPr>
        <w:t>.</w:t>
      </w:r>
      <w:r>
        <w:rPr>
          <w:vertAlign w:val="baseline"/>
        </w:rPr>
        <w:t>6)</w:t>
      </w:r>
    </w:p>
    <w:p>
      <w:pPr>
        <w:spacing w:line="137" w:lineRule="exact" w:before="0"/>
        <w:ind w:left="1641" w:right="0" w:firstLine="0"/>
        <w:jc w:val="left"/>
        <w:rPr>
          <w:rFonts w:ascii="Symbola"/>
          <w:sz w:val="17"/>
        </w:rPr>
      </w:pPr>
      <w:r>
        <w:rPr/>
        <w:pict>
          <v:rect style="position:absolute;margin-left:194.639999pt;margin-top:-4.805068pt;width:47.88pt;height:.84pt;mso-position-horizontal-relative:page;mso-position-vertical-relative:paragraph;z-index:-18516480" filled="true" fillcolor="#000000" stroked="false">
            <v:fill type="solid"/>
            <w10:wrap type="none"/>
          </v:rect>
        </w:pict>
      </w:r>
      <w:r>
        <w:rPr>
          <w:rFonts w:ascii="Symbola"/>
          <w:w w:val="110"/>
          <w:sz w:val="17"/>
        </w:rPr>
        <w:t>2.303</w:t>
      </w:r>
    </w:p>
    <w:p>
      <w:pPr>
        <w:spacing w:after="0" w:line="137" w:lineRule="exact"/>
        <w:jc w:val="left"/>
        <w:rPr>
          <w:rFonts w:ascii="Symbola"/>
          <w:sz w:val="17"/>
        </w:rPr>
        <w:sectPr>
          <w:type w:val="continuous"/>
          <w:pgSz w:w="11910" w:h="16840"/>
          <w:pgMar w:top="1300" w:bottom="940" w:left="1500" w:right="1480"/>
          <w:cols w:num="2" w:equalWidth="0">
            <w:col w:w="976" w:space="40"/>
            <w:col w:w="7914"/>
          </w:cols>
        </w:sectPr>
      </w:pPr>
    </w:p>
    <w:p>
      <w:pPr>
        <w:pStyle w:val="BodyText"/>
        <w:rPr>
          <w:rFonts w:ascii="Symbola"/>
          <w:sz w:val="21"/>
        </w:rPr>
      </w:pPr>
    </w:p>
    <w:p>
      <w:pPr>
        <w:pStyle w:val="BodyText"/>
        <w:spacing w:line="268" w:lineRule="exact" w:before="126"/>
        <w:ind w:left="300"/>
      </w:pPr>
      <w:r>
        <w:rPr/>
        <w:pict>
          <v:rect style="position:absolute;margin-left:116.519997pt;margin-top:17.949234pt;width:7.68pt;height:.84pt;mso-position-horizontal-relative:page;mso-position-vertical-relative:paragraph;z-index:15751680" filled="true" fillcolor="#000000" stroked="false">
            <v:fill type="solid"/>
            <w10:wrap type="none"/>
          </v:rect>
        </w:pict>
      </w:r>
      <w:r>
        <w:rPr/>
        <w:pict>
          <v:rect style="position:absolute;margin-left:328.440002pt;margin-top:17.949234pt;width:47.88pt;height:.84pt;mso-position-horizontal-relative:page;mso-position-vertical-relative:paragraph;z-index:15752192" filled="true" fillcolor="#000000" stroked="false">
            <v:fill type="solid"/>
            <w10:wrap type="none"/>
          </v:rect>
        </w:pict>
      </w:r>
      <w:r>
        <w:rPr>
          <w:rFonts w:ascii="Symbola" w:hAnsi="Symbola" w:cs="Symbola" w:eastAsia="Symbola"/>
          <w:w w:val="96"/>
        </w:rPr>
        <w:t>−</w:t>
      </w:r>
      <w:r>
        <w:rPr>
          <w:rFonts w:ascii="Symbola" w:hAnsi="Symbola" w:cs="Symbola" w:eastAsia="Symbola"/>
          <w:spacing w:val="-1"/>
          <w:w w:val="97"/>
        </w:rPr>
        <w:t>lo</w:t>
      </w:r>
      <w:r>
        <w:rPr>
          <w:rFonts w:ascii="Symbola" w:hAnsi="Symbola" w:cs="Symbola" w:eastAsia="Symbola"/>
          <w:w w:val="97"/>
        </w:rPr>
        <w:t>g</w:t>
      </w:r>
      <w:r>
        <w:rPr>
          <w:rFonts w:ascii="Symbola" w:hAnsi="Symbola" w:cs="Symbola" w:eastAsia="Symbola"/>
          <w:spacing w:val="20"/>
        </w:rPr>
        <w:t> </w:t>
      </w:r>
      <w:r>
        <w:rPr>
          <w:rFonts w:ascii="Symbola" w:hAnsi="Symbola" w:cs="Symbola" w:eastAsia="Symbola"/>
          <w:w w:val="62"/>
          <w:vertAlign w:val="superscript"/>
        </w:rPr>
        <w:t>𝐼</w:t>
      </w:r>
      <w:r>
        <w:rPr>
          <w:rFonts w:ascii="Symbola" w:hAnsi="Symbola" w:cs="Symbola" w:eastAsia="Symbola"/>
          <w:vertAlign w:val="baseline"/>
        </w:rPr>
        <w:t> </w:t>
      </w:r>
      <w:r>
        <w:rPr>
          <w:rFonts w:ascii="Symbola" w:hAnsi="Symbola" w:cs="Symbola" w:eastAsia="Symbola"/>
          <w:spacing w:val="-21"/>
          <w:vertAlign w:val="baseline"/>
        </w:rPr>
        <w:t> </w:t>
      </w:r>
      <w:r>
        <w:rPr>
          <w:vertAlign w:val="baseline"/>
        </w:rPr>
        <w:t>i</w:t>
      </w:r>
      <w:r>
        <w:rPr>
          <w:w w:val="99"/>
          <w:vertAlign w:val="baseline"/>
        </w:rPr>
        <w:t>s</w:t>
      </w:r>
      <w:r>
        <w:rPr>
          <w:vertAlign w:val="baseline"/>
        </w:rPr>
        <w:t> </w:t>
      </w:r>
      <w:r>
        <w:rPr>
          <w:spacing w:val="-15"/>
          <w:vertAlign w:val="baseline"/>
        </w:rPr>
        <w:t> </w:t>
      </w:r>
      <w:r>
        <w:rPr>
          <w:vertAlign w:val="baseline"/>
        </w:rPr>
        <w:t>d</w:t>
      </w:r>
      <w:r>
        <w:rPr>
          <w:spacing w:val="-1"/>
          <w:vertAlign w:val="baseline"/>
        </w:rPr>
        <w:t>ef</w:t>
      </w:r>
      <w:r>
        <w:rPr>
          <w:vertAlign w:val="baseline"/>
        </w:rPr>
        <w:t>in</w:t>
      </w:r>
      <w:r>
        <w:rPr>
          <w:spacing w:val="-1"/>
          <w:vertAlign w:val="baseline"/>
        </w:rPr>
        <w:t>e</w:t>
      </w:r>
      <w:r>
        <w:rPr>
          <w:vertAlign w:val="baseline"/>
        </w:rPr>
        <w:t>d </w:t>
      </w:r>
      <w:r>
        <w:rPr>
          <w:spacing w:val="-12"/>
          <w:vertAlign w:val="baseline"/>
        </w:rPr>
        <w:t> </w:t>
      </w:r>
      <w:r>
        <w:rPr>
          <w:spacing w:val="-1"/>
          <w:w w:val="99"/>
          <w:vertAlign w:val="baseline"/>
        </w:rPr>
        <w:t>a</w:t>
      </w:r>
      <w:r>
        <w:rPr>
          <w:w w:val="99"/>
          <w:vertAlign w:val="baseline"/>
        </w:rPr>
        <w:t>s</w:t>
      </w:r>
      <w:r>
        <w:rPr>
          <w:vertAlign w:val="baseline"/>
        </w:rPr>
        <w:t> </w:t>
      </w:r>
      <w:r>
        <w:rPr>
          <w:spacing w:val="-15"/>
          <w:vertAlign w:val="baseline"/>
        </w:rPr>
        <w:t> </w:t>
      </w:r>
      <w:r>
        <w:rPr>
          <w:vertAlign w:val="baseline"/>
        </w:rPr>
        <w:t>the </w:t>
      </w:r>
      <w:r>
        <w:rPr>
          <w:spacing w:val="-13"/>
          <w:vertAlign w:val="baseline"/>
        </w:rPr>
        <w:t> </w:t>
      </w:r>
      <w:r>
        <w:rPr>
          <w:spacing w:val="-1"/>
          <w:vertAlign w:val="baseline"/>
        </w:rPr>
        <w:t>a</w:t>
      </w:r>
      <w:r>
        <w:rPr>
          <w:vertAlign w:val="baseline"/>
        </w:rPr>
        <w:t>b</w:t>
      </w:r>
      <w:r>
        <w:rPr>
          <w:w w:val="99"/>
          <w:vertAlign w:val="baseline"/>
        </w:rPr>
        <w:t>s</w:t>
      </w:r>
      <w:r>
        <w:rPr>
          <w:vertAlign w:val="baseline"/>
        </w:rPr>
        <w:t>o</w:t>
      </w:r>
      <w:r>
        <w:rPr>
          <w:spacing w:val="-1"/>
          <w:vertAlign w:val="baseline"/>
        </w:rPr>
        <w:t>r</w:t>
      </w:r>
      <w:r>
        <w:rPr>
          <w:spacing w:val="2"/>
          <w:vertAlign w:val="baseline"/>
        </w:rPr>
        <w:t>b</w:t>
      </w:r>
      <w:r>
        <w:rPr>
          <w:spacing w:val="-1"/>
          <w:vertAlign w:val="baseline"/>
        </w:rPr>
        <w:t>a</w:t>
      </w:r>
      <w:r>
        <w:rPr>
          <w:vertAlign w:val="baseline"/>
        </w:rPr>
        <w:t>n</w:t>
      </w:r>
      <w:r>
        <w:rPr>
          <w:spacing w:val="-1"/>
          <w:vertAlign w:val="baseline"/>
        </w:rPr>
        <w:t>c</w:t>
      </w:r>
      <w:r>
        <w:rPr>
          <w:vertAlign w:val="baseline"/>
        </w:rPr>
        <w:t>e </w:t>
      </w:r>
      <w:r>
        <w:rPr>
          <w:spacing w:val="-13"/>
          <w:vertAlign w:val="baseline"/>
        </w:rPr>
        <w:t> </w:t>
      </w:r>
      <w:r>
        <w:rPr>
          <w:spacing w:val="-1"/>
          <w:vertAlign w:val="baseline"/>
        </w:rPr>
        <w:t>a</w:t>
      </w:r>
      <w:r>
        <w:rPr>
          <w:vertAlign w:val="baseline"/>
        </w:rPr>
        <w:t>nd </w:t>
      </w:r>
      <w:r>
        <w:rPr>
          <w:spacing w:val="-12"/>
          <w:vertAlign w:val="baseline"/>
        </w:rPr>
        <w:t> </w:t>
      </w:r>
      <w:r>
        <w:rPr>
          <w:rFonts w:ascii="Symbola" w:hAnsi="Symbola" w:cs="Symbola" w:eastAsia="Symbola"/>
          <w:w w:val="103"/>
          <w:vertAlign w:val="baseline"/>
        </w:rPr>
        <w:t>𝜎</w:t>
      </w:r>
      <w:r>
        <w:rPr>
          <w:rFonts w:ascii="Symbola" w:hAnsi="Symbola" w:cs="Symbola" w:eastAsia="Symbola"/>
          <w:vertAlign w:val="baseline"/>
        </w:rPr>
        <w:t> </w:t>
      </w:r>
      <w:r>
        <w:rPr>
          <w:rFonts w:ascii="Symbola" w:hAnsi="Symbola" w:cs="Symbola" w:eastAsia="Symbola"/>
          <w:spacing w:val="-9"/>
          <w:vertAlign w:val="baseline"/>
        </w:rPr>
        <w:t> </w:t>
      </w:r>
      <w:r>
        <w:rPr>
          <w:rFonts w:ascii="Symbola" w:hAnsi="Symbola" w:cs="Symbola" w:eastAsia="Symbola"/>
          <w:w w:val="91"/>
          <w:vertAlign w:val="baseline"/>
        </w:rPr>
        <w:t>×</w:t>
      </w:r>
      <w:r>
        <w:rPr>
          <w:rFonts w:ascii="Symbola" w:hAnsi="Symbola" w:cs="Symbola" w:eastAsia="Symbola"/>
          <w:spacing w:val="-6"/>
          <w:vertAlign w:val="baseline"/>
        </w:rPr>
        <w:t> </w:t>
      </w:r>
      <w:r>
        <w:rPr>
          <w:rFonts w:ascii="Symbola" w:hAnsi="Symbola" w:cs="Symbola" w:eastAsia="Symbola"/>
          <w:spacing w:val="-1"/>
          <w:w w:val="49"/>
          <w:vertAlign w:val="baseline"/>
        </w:rPr>
        <w:t>�</w:t>
      </w:r>
      <w:r>
        <w:rPr>
          <w:rFonts w:ascii="Symbola" w:hAnsi="Symbola" w:cs="Symbola" w:eastAsia="Symbola"/>
          <w:spacing w:val="-1"/>
          <w:w w:val="103"/>
          <w:vertAlign w:val="superscript"/>
        </w:rPr>
        <w:t>6</w:t>
      </w:r>
      <w:r>
        <w:rPr>
          <w:rFonts w:ascii="Symbola" w:hAnsi="Symbola" w:cs="Symbola" w:eastAsia="Symbola"/>
          <w:spacing w:val="1"/>
          <w:w w:val="73"/>
          <w:vertAlign w:val="superscript"/>
        </w:rPr>
        <w:t>.</w:t>
      </w:r>
      <w:r>
        <w:rPr>
          <w:rFonts w:ascii="Symbola" w:hAnsi="Symbola" w:cs="Symbola" w:eastAsia="Symbola"/>
          <w:spacing w:val="-1"/>
          <w:w w:val="103"/>
          <w:vertAlign w:val="superscript"/>
        </w:rPr>
        <w:t>02</w:t>
      </w:r>
      <w:r>
        <w:rPr>
          <w:rFonts w:ascii="Symbola" w:hAnsi="Symbola" w:cs="Symbola" w:eastAsia="Symbola"/>
          <w:w w:val="103"/>
          <w:vertAlign w:val="superscript"/>
        </w:rPr>
        <w:t>2</w:t>
      </w:r>
      <w:r>
        <w:rPr>
          <w:rFonts w:ascii="Symbola" w:hAnsi="Symbola" w:cs="Symbola" w:eastAsia="Symbola"/>
          <w:spacing w:val="-22"/>
          <w:vertAlign w:val="baseline"/>
        </w:rPr>
        <w:t> </w:t>
      </w:r>
      <w:r>
        <w:rPr>
          <w:rFonts w:ascii="Symbola" w:hAnsi="Symbola" w:cs="Symbola" w:eastAsia="Symbola"/>
          <w:spacing w:val="-2"/>
          <w:w w:val="82"/>
          <w:vertAlign w:val="superscript"/>
        </w:rPr>
        <w:t>×</w:t>
      </w:r>
      <w:r>
        <w:rPr>
          <w:rFonts w:ascii="Symbola" w:hAnsi="Symbola" w:cs="Symbola" w:eastAsia="Symbola"/>
          <w:spacing w:val="-1"/>
          <w:w w:val="103"/>
          <w:vertAlign w:val="superscript"/>
        </w:rPr>
        <w:t>1</w:t>
      </w:r>
      <w:r>
        <w:rPr>
          <w:rFonts w:ascii="Symbola" w:hAnsi="Symbola" w:cs="Symbola" w:eastAsia="Symbola"/>
          <w:w w:val="103"/>
          <w:vertAlign w:val="superscript"/>
        </w:rPr>
        <w:t>0</w:t>
      </w:r>
      <w:r>
        <w:rPr>
          <w:rFonts w:ascii="Symbola" w:hAnsi="Symbola" w:cs="Symbola" w:eastAsia="Symbola"/>
          <w:spacing w:val="1"/>
          <w:w w:val="118"/>
          <w:position w:val="20"/>
          <w:sz w:val="14"/>
          <w:szCs w:val="14"/>
          <w:vertAlign w:val="baseline"/>
        </w:rPr>
        <w:t>2</w:t>
      </w:r>
      <w:r>
        <w:rPr>
          <w:rFonts w:ascii="Symbola" w:hAnsi="Symbola" w:cs="Symbola" w:eastAsia="Symbola"/>
          <w:spacing w:val="8"/>
          <w:w w:val="118"/>
          <w:position w:val="20"/>
          <w:sz w:val="14"/>
          <w:szCs w:val="14"/>
          <w:vertAlign w:val="baseline"/>
        </w:rPr>
        <w:t>0</w:t>
      </w:r>
      <w:r>
        <w:rPr>
          <w:rFonts w:ascii="Symbola" w:hAnsi="Symbola" w:cs="Symbola" w:eastAsia="Symbola"/>
          <w:w w:val="49"/>
          <w:vertAlign w:val="baseline"/>
        </w:rPr>
        <w:t>�</w:t>
      </w:r>
      <w:r>
        <w:rPr>
          <w:rFonts w:ascii="Symbola" w:hAnsi="Symbola" w:cs="Symbola" w:eastAsia="Symbola"/>
          <w:vertAlign w:val="baseline"/>
        </w:rPr>
        <w:t> </w:t>
      </w:r>
      <w:r>
        <w:rPr>
          <w:rFonts w:ascii="Symbola" w:hAnsi="Symbola" w:cs="Symbola" w:eastAsia="Symbola"/>
          <w:spacing w:val="-17"/>
          <w:vertAlign w:val="baseline"/>
        </w:rPr>
        <w:t> </w:t>
      </w:r>
      <w:r>
        <w:rPr>
          <w:vertAlign w:val="baseline"/>
        </w:rPr>
        <w:t>i</w:t>
      </w:r>
      <w:r>
        <w:rPr>
          <w:w w:val="99"/>
          <w:vertAlign w:val="baseline"/>
        </w:rPr>
        <w:t>s</w:t>
      </w:r>
      <w:r>
        <w:rPr>
          <w:vertAlign w:val="baseline"/>
        </w:rPr>
        <w:t> </w:t>
      </w:r>
      <w:r>
        <w:rPr>
          <w:spacing w:val="-15"/>
          <w:vertAlign w:val="baseline"/>
        </w:rPr>
        <w:t> </w:t>
      </w:r>
      <w:r>
        <w:rPr>
          <w:vertAlign w:val="baseline"/>
        </w:rPr>
        <w:t>d</w:t>
      </w:r>
      <w:r>
        <w:rPr>
          <w:spacing w:val="-1"/>
          <w:vertAlign w:val="baseline"/>
        </w:rPr>
        <w:t>ef</w:t>
      </w:r>
      <w:r>
        <w:rPr>
          <w:vertAlign w:val="baseline"/>
        </w:rPr>
        <w:t>in</w:t>
      </w:r>
      <w:r>
        <w:rPr>
          <w:spacing w:val="-1"/>
          <w:vertAlign w:val="baseline"/>
        </w:rPr>
        <w:t>e</w:t>
      </w:r>
      <w:r>
        <w:rPr>
          <w:vertAlign w:val="baseline"/>
        </w:rPr>
        <w:t>d </w:t>
      </w:r>
      <w:r>
        <w:rPr>
          <w:spacing w:val="-12"/>
          <w:vertAlign w:val="baseline"/>
        </w:rPr>
        <w:t> </w:t>
      </w:r>
      <w:r>
        <w:rPr>
          <w:spacing w:val="-1"/>
          <w:w w:val="99"/>
          <w:vertAlign w:val="baseline"/>
        </w:rPr>
        <w:t>a</w:t>
      </w:r>
      <w:r>
        <w:rPr>
          <w:w w:val="99"/>
          <w:vertAlign w:val="baseline"/>
        </w:rPr>
        <w:t>s</w:t>
      </w:r>
      <w:r>
        <w:rPr>
          <w:vertAlign w:val="baseline"/>
        </w:rPr>
        <w:t> </w:t>
      </w:r>
      <w:r>
        <w:rPr>
          <w:spacing w:val="-12"/>
          <w:vertAlign w:val="baseline"/>
        </w:rPr>
        <w:t> </w:t>
      </w:r>
      <w:r>
        <w:rPr>
          <w:vertAlign w:val="baseline"/>
        </w:rPr>
        <w:t>the </w:t>
      </w:r>
      <w:r>
        <w:rPr>
          <w:spacing w:val="-16"/>
          <w:vertAlign w:val="baseline"/>
        </w:rPr>
        <w:t> </w:t>
      </w:r>
      <w:r>
        <w:rPr>
          <w:vertAlign w:val="baseline"/>
        </w:rPr>
        <w:t>mol</w:t>
      </w:r>
      <w:r>
        <w:rPr>
          <w:spacing w:val="-1"/>
          <w:vertAlign w:val="baseline"/>
        </w:rPr>
        <w:t>ar</w:t>
      </w:r>
    </w:p>
    <w:p>
      <w:pPr>
        <w:spacing w:after="0" w:line="268" w:lineRule="exact"/>
        <w:sectPr>
          <w:type w:val="continuous"/>
          <w:pgSz w:w="11910" w:h="16840"/>
          <w:pgMar w:top="1300" w:bottom="940" w:left="1500" w:right="1480"/>
        </w:sectPr>
      </w:pPr>
    </w:p>
    <w:p>
      <w:pPr>
        <w:spacing w:before="29"/>
        <w:ind w:left="0" w:right="38" w:firstLine="0"/>
        <w:jc w:val="right"/>
        <w:rPr>
          <w:rFonts w:ascii="Symbola" w:eastAsia="Symbola"/>
          <w:sz w:val="14"/>
        </w:rPr>
      </w:pPr>
      <w:r>
        <w:rPr>
          <w:rFonts w:ascii="Symbola" w:eastAsia="Symbola"/>
          <w:w w:val="90"/>
          <w:sz w:val="17"/>
        </w:rPr>
        <w:t>𝐼</w:t>
      </w:r>
      <w:r>
        <w:rPr>
          <w:rFonts w:ascii="Symbola" w:eastAsia="Symbola"/>
          <w:w w:val="90"/>
          <w:position w:val="-2"/>
          <w:sz w:val="14"/>
        </w:rPr>
        <w:t>𝑜</w:t>
      </w:r>
    </w:p>
    <w:p>
      <w:pPr>
        <w:spacing w:before="29"/>
        <w:ind w:left="830" w:right="0" w:firstLine="0"/>
        <w:jc w:val="left"/>
        <w:rPr>
          <w:rFonts w:ascii="Symbola"/>
          <w:sz w:val="17"/>
        </w:rPr>
      </w:pPr>
      <w:r>
        <w:rPr/>
        <w:br w:type="column"/>
      </w:r>
      <w:r>
        <w:rPr>
          <w:rFonts w:ascii="Symbola"/>
          <w:w w:val="110"/>
          <w:sz w:val="17"/>
        </w:rPr>
        <w:t>2.303</w:t>
      </w:r>
    </w:p>
    <w:p>
      <w:pPr>
        <w:spacing w:after="0"/>
        <w:jc w:val="left"/>
        <w:rPr>
          <w:rFonts w:ascii="Symbola"/>
          <w:sz w:val="17"/>
        </w:rPr>
        <w:sectPr>
          <w:type w:val="continuous"/>
          <w:pgSz w:w="11910" w:h="16840"/>
          <w:pgMar w:top="1300" w:bottom="940" w:left="1500" w:right="1480"/>
          <w:cols w:num="2" w:equalWidth="0">
            <w:col w:w="1016" w:space="3486"/>
            <w:col w:w="4428"/>
          </w:cols>
        </w:sectPr>
      </w:pPr>
    </w:p>
    <w:p>
      <w:pPr>
        <w:pStyle w:val="BodyText"/>
        <w:spacing w:line="360" w:lineRule="auto" w:before="116"/>
        <w:ind w:left="300" w:right="318"/>
        <w:jc w:val="both"/>
      </w:pPr>
      <w:r>
        <w:rPr/>
        <w:t>absorption coefficient, denoted by the Greek alphabet, ε. Therefore, equation 4.6 can be written as:</w:t>
      </w:r>
    </w:p>
    <w:p>
      <w:pPr>
        <w:tabs>
          <w:tab w:pos="6452" w:val="left" w:leader="middleDot"/>
        </w:tabs>
        <w:spacing w:before="200"/>
        <w:ind w:left="1754" w:right="0" w:firstLine="0"/>
        <w:jc w:val="left"/>
        <w:rPr>
          <w:sz w:val="24"/>
        </w:rPr>
      </w:pPr>
      <w:r>
        <w:rPr>
          <w:sz w:val="24"/>
        </w:rPr>
        <w:t>Absorbance, </w:t>
      </w:r>
      <w:r>
        <w:rPr>
          <w:i/>
          <w:sz w:val="24"/>
        </w:rPr>
        <w:t>A</w:t>
      </w:r>
      <w:r>
        <w:rPr>
          <w:i/>
          <w:spacing w:val="-4"/>
          <w:sz w:val="24"/>
        </w:rPr>
        <w:t> </w:t>
      </w:r>
      <w:r>
        <w:rPr>
          <w:i/>
          <w:sz w:val="24"/>
        </w:rPr>
        <w:t>= εcl</w:t>
        <w:tab/>
      </w:r>
      <w:r>
        <w:rPr>
          <w:sz w:val="24"/>
        </w:rPr>
        <w:t>(4.7)</w:t>
      </w:r>
    </w:p>
    <w:p>
      <w:pPr>
        <w:pStyle w:val="BodyText"/>
        <w:spacing w:before="4"/>
        <w:rPr>
          <w:sz w:val="29"/>
        </w:rPr>
      </w:pPr>
    </w:p>
    <w:p>
      <w:pPr>
        <w:spacing w:line="360" w:lineRule="auto" w:before="1"/>
        <w:ind w:left="300" w:right="316" w:firstLine="0"/>
        <w:jc w:val="both"/>
        <w:rPr>
          <w:sz w:val="24"/>
        </w:rPr>
      </w:pPr>
      <w:r>
        <w:rPr>
          <w:i/>
          <w:sz w:val="24"/>
        </w:rPr>
        <w:t>This equality showing linear relationship between absorbance and the concentration </w:t>
      </w:r>
      <w:r>
        <w:rPr>
          <w:i/>
          <w:sz w:val="24"/>
        </w:rPr>
        <w:t>of the absorbing molecule (or chromophore, to be precise) is known as the Beer- Lambert law or Beer’s law</w:t>
      </w:r>
      <w:r>
        <w:rPr>
          <w:sz w:val="24"/>
        </w:rPr>
        <w:t>.</w:t>
      </w:r>
    </w:p>
    <w:p>
      <w:pPr>
        <w:pStyle w:val="BodyText"/>
        <w:spacing w:line="360" w:lineRule="auto" w:before="200"/>
        <w:ind w:left="300" w:right="317"/>
        <w:jc w:val="both"/>
      </w:pPr>
      <w:r>
        <w:rPr/>
        <w:t>Transmittance is another way of describing the absorption of light. Transmittance (</w:t>
      </w:r>
      <w:r>
        <w:rPr>
          <w:i/>
        </w:rPr>
        <w:t>T</w:t>
      </w:r>
      <w:r>
        <w:rPr/>
        <w:t>) is simply the ratio of the intensity of the radiation transmitted through the sample to that of the incident radiation. Transmittance is generally represented as percentage transmittance (</w:t>
      </w:r>
      <w:r>
        <w:rPr>
          <w:i/>
        </w:rPr>
        <w:t>%T</w:t>
      </w:r>
      <w:r>
        <w:rPr/>
        <w:t>):</w:t>
      </w:r>
    </w:p>
    <w:p>
      <w:pPr>
        <w:spacing w:after="0" w:line="360" w:lineRule="auto"/>
        <w:jc w:val="both"/>
        <w:sectPr>
          <w:type w:val="continuous"/>
          <w:pgSz w:w="11910" w:h="16840"/>
          <w:pgMar w:top="1300" w:bottom="940" w:left="1500" w:right="1480"/>
        </w:sectPr>
      </w:pPr>
    </w:p>
    <w:p>
      <w:pPr>
        <w:pStyle w:val="BodyText"/>
        <w:spacing w:line="207" w:lineRule="exact" w:before="298"/>
        <w:ind w:right="35"/>
        <w:jc w:val="right"/>
        <w:rPr>
          <w:rFonts w:ascii="Symbola" w:eastAsia="Symbola"/>
        </w:rPr>
      </w:pPr>
      <w:r>
        <w:rPr/>
        <w:pict>
          <v:rect style="position:absolute;margin-left:296.640015pt;margin-top:20.470167pt;width:7.68pt;height:.84pt;mso-position-horizontal-relative:page;mso-position-vertical-relative:paragraph;z-index:-18514944" filled="true" fillcolor="#000000" stroked="false">
            <v:fill type="solid"/>
            <w10:wrap type="none"/>
          </v:rect>
        </w:pict>
      </w:r>
      <w:r>
        <w:rPr>
          <w:rFonts w:ascii="Symbola" w:eastAsia="Symbola"/>
        </w:rPr>
        <w:t>%𝑇 = </w:t>
      </w:r>
      <w:r>
        <w:rPr>
          <w:rFonts w:ascii="Symbola" w:eastAsia="Symbola"/>
          <w:spacing w:val="38"/>
        </w:rPr>
        <w:t> </w:t>
      </w:r>
      <w:r>
        <w:rPr>
          <w:rFonts w:ascii="Symbola" w:eastAsia="Symbola"/>
          <w:vertAlign w:val="superscript"/>
        </w:rPr>
        <w:t>𝐼</w:t>
      </w:r>
    </w:p>
    <w:p>
      <w:pPr>
        <w:spacing w:line="180" w:lineRule="auto" w:before="0"/>
        <w:ind w:left="0" w:right="0" w:firstLine="0"/>
        <w:jc w:val="right"/>
        <w:rPr>
          <w:rFonts w:ascii="Symbola" w:eastAsia="Symbola"/>
          <w:sz w:val="14"/>
        </w:rPr>
      </w:pPr>
      <w:r>
        <w:rPr>
          <w:rFonts w:ascii="Symbola" w:eastAsia="Symbola"/>
          <w:spacing w:val="-7"/>
          <w:w w:val="90"/>
          <w:sz w:val="17"/>
        </w:rPr>
        <w:t>𝐼</w:t>
      </w:r>
      <w:r>
        <w:rPr>
          <w:rFonts w:ascii="Symbola" w:eastAsia="Symbola"/>
          <w:spacing w:val="-7"/>
          <w:w w:val="90"/>
          <w:position w:val="-2"/>
          <w:sz w:val="14"/>
        </w:rPr>
        <w:t>𝑜</w:t>
      </w:r>
    </w:p>
    <w:p>
      <w:pPr>
        <w:pStyle w:val="BodyText"/>
        <w:spacing w:before="2"/>
        <w:rPr>
          <w:rFonts w:ascii="Symbola"/>
          <w:sz w:val="26"/>
        </w:rPr>
      </w:pPr>
      <w:r>
        <w:rPr/>
        <w:br w:type="column"/>
      </w:r>
      <w:r>
        <w:rPr>
          <w:rFonts w:ascii="Symbola"/>
          <w:sz w:val="26"/>
        </w:rPr>
      </w:r>
    </w:p>
    <w:p>
      <w:pPr>
        <w:pStyle w:val="BodyText"/>
        <w:ind w:left="28"/>
      </w:pPr>
      <w:r>
        <w:rPr/>
        <w:t>× 100</w:t>
      </w:r>
    </w:p>
    <w:p>
      <w:pPr>
        <w:spacing w:after="0"/>
        <w:sectPr>
          <w:type w:val="continuous"/>
          <w:pgSz w:w="11910" w:h="16840"/>
          <w:pgMar w:top="1300" w:bottom="940" w:left="1500" w:right="1480"/>
          <w:cols w:num="2" w:equalWidth="0">
            <w:col w:w="4579" w:space="40"/>
            <w:col w:w="4311"/>
          </w:cols>
        </w:sectPr>
      </w:pPr>
    </w:p>
    <w:p>
      <w:pPr>
        <w:pStyle w:val="BodyText"/>
        <w:spacing w:before="1"/>
        <w:rPr>
          <w:sz w:val="20"/>
        </w:rPr>
      </w:pPr>
    </w:p>
    <w:p>
      <w:pPr>
        <w:pStyle w:val="BodyText"/>
        <w:spacing w:line="360" w:lineRule="auto" w:before="90"/>
        <w:ind w:left="300" w:right="315"/>
        <w:jc w:val="both"/>
      </w:pPr>
      <w:r>
        <w:rPr/>
        <w:t>As is clear from the definition of absorbance and transmittance, both are dimensionless quantities. Absorbance and transmittance are therefore represented in arbitrary units (AU). The quantity of interest in an absorption spectrum is the molar absorption coefficient, </w:t>
      </w:r>
      <w:r>
        <w:rPr>
          <w:i/>
        </w:rPr>
        <w:t>ε </w:t>
      </w:r>
      <w:r>
        <w:rPr/>
        <w:t>which varies with wavelength (Figure 4.5). The wavelength at which highest molar absorption coefficient (</w:t>
      </w:r>
      <w:r>
        <w:rPr>
          <w:i/>
        </w:rPr>
        <w:t>ε</w:t>
      </w:r>
      <w:r>
        <w:rPr>
          <w:i/>
          <w:vertAlign w:val="subscript"/>
        </w:rPr>
        <w:t>max</w:t>
      </w:r>
      <w:r>
        <w:rPr>
          <w:vertAlign w:val="baseline"/>
        </w:rPr>
        <w:t>) is observed is represented as </w:t>
      </w:r>
      <w:r>
        <w:rPr>
          <w:i/>
          <w:vertAlign w:val="baseline"/>
        </w:rPr>
        <w:t>λ</w:t>
      </w:r>
      <w:r>
        <w:rPr>
          <w:i/>
          <w:vertAlign w:val="subscript"/>
        </w:rPr>
        <w:t>max</w:t>
      </w:r>
      <w:r>
        <w:rPr>
          <w:vertAlign w:val="baseline"/>
        </w:rPr>
        <w:t>. Area of cross-section of the absorbing species puts an upper limit to the molar absorption</w:t>
      </w:r>
      <w:r>
        <w:rPr>
          <w:spacing w:val="-1"/>
          <w:vertAlign w:val="baseline"/>
        </w:rPr>
        <w:t> </w:t>
      </w:r>
      <w:r>
        <w:rPr>
          <w:vertAlign w:val="baseline"/>
        </w:rPr>
        <w:t>coefficient.</w:t>
      </w:r>
    </w:p>
    <w:p>
      <w:pPr>
        <w:spacing w:after="0" w:line="360" w:lineRule="auto"/>
        <w:jc w:val="both"/>
        <w:sectPr>
          <w:type w:val="continuous"/>
          <w:pgSz w:w="11910" w:h="16840"/>
          <w:pgMar w:top="1300" w:bottom="940" w:left="1500" w:right="1480"/>
        </w:sectPr>
      </w:pPr>
    </w:p>
    <w:p>
      <w:pPr>
        <w:pStyle w:val="BodyText"/>
        <w:spacing w:before="2"/>
        <w:rPr>
          <w:sz w:val="15"/>
        </w:rPr>
      </w:pPr>
    </w:p>
    <w:p>
      <w:pPr>
        <w:pStyle w:val="BodyText"/>
        <w:ind w:left="1897"/>
        <w:rPr>
          <w:sz w:val="20"/>
        </w:rPr>
      </w:pPr>
      <w:r>
        <w:rPr>
          <w:sz w:val="20"/>
        </w:rPr>
        <w:drawing>
          <wp:inline distT="0" distB="0" distL="0" distR="0">
            <wp:extent cx="3402841" cy="2497835"/>
            <wp:effectExtent l="0" t="0" r="0" b="0"/>
            <wp:docPr id="45" name="image25.jpeg" descr="Figure 4.5.tif"/>
            <wp:cNvGraphicFramePr>
              <a:graphicFrameLocks noChangeAspect="1"/>
            </wp:cNvGraphicFramePr>
            <a:graphic>
              <a:graphicData uri="http://schemas.openxmlformats.org/drawingml/2006/picture">
                <pic:pic>
                  <pic:nvPicPr>
                    <pic:cNvPr id="46" name="image25.jpeg"/>
                    <pic:cNvPicPr/>
                  </pic:nvPicPr>
                  <pic:blipFill>
                    <a:blip r:embed="rId33" cstate="print"/>
                    <a:stretch>
                      <a:fillRect/>
                    </a:stretch>
                  </pic:blipFill>
                  <pic:spPr>
                    <a:xfrm>
                      <a:off x="0" y="0"/>
                      <a:ext cx="3402841" cy="2497835"/>
                    </a:xfrm>
                    <a:prstGeom prst="rect">
                      <a:avLst/>
                    </a:prstGeom>
                  </pic:spPr>
                </pic:pic>
              </a:graphicData>
            </a:graphic>
          </wp:inline>
        </w:drawing>
      </w:r>
      <w:r>
        <w:rPr>
          <w:sz w:val="20"/>
        </w:rPr>
      </w:r>
    </w:p>
    <w:p>
      <w:pPr>
        <w:pStyle w:val="BodyText"/>
        <w:spacing w:before="9"/>
        <w:rPr>
          <w:sz w:val="20"/>
        </w:rPr>
      </w:pPr>
    </w:p>
    <w:p>
      <w:pPr>
        <w:spacing w:before="94"/>
        <w:ind w:left="791" w:right="617" w:firstLine="0"/>
        <w:jc w:val="center"/>
        <w:rPr>
          <w:b/>
          <w:sz w:val="16"/>
        </w:rPr>
      </w:pPr>
      <w:r>
        <w:rPr>
          <w:b/>
          <w:sz w:val="16"/>
        </w:rPr>
        <w:t>Figure 4.5 An absorption spectrum of N-acetyl-tryptophanamide</w:t>
      </w:r>
    </w:p>
    <w:p>
      <w:pPr>
        <w:pStyle w:val="BodyText"/>
        <w:rPr>
          <w:b/>
          <w:sz w:val="18"/>
        </w:rPr>
      </w:pPr>
    </w:p>
    <w:p>
      <w:pPr>
        <w:pStyle w:val="BodyText"/>
        <w:rPr>
          <w:b/>
          <w:sz w:val="18"/>
        </w:rPr>
      </w:pPr>
    </w:p>
    <w:p>
      <w:pPr>
        <w:pStyle w:val="BodyText"/>
        <w:rPr>
          <w:b/>
          <w:sz w:val="18"/>
        </w:rPr>
      </w:pPr>
    </w:p>
    <w:p>
      <w:pPr>
        <w:pStyle w:val="BodyText"/>
        <w:spacing w:before="9"/>
        <w:rPr>
          <w:b/>
        </w:rPr>
      </w:pPr>
    </w:p>
    <w:p>
      <w:pPr>
        <w:pStyle w:val="Heading4"/>
      </w:pPr>
      <w:r>
        <w:rPr/>
        <w:t>Deviations from Beer-Lambert law:</w:t>
      </w:r>
    </w:p>
    <w:p>
      <w:pPr>
        <w:pStyle w:val="BodyText"/>
        <w:rPr>
          <w:b/>
          <w:sz w:val="29"/>
        </w:rPr>
      </w:pPr>
    </w:p>
    <w:p>
      <w:pPr>
        <w:pStyle w:val="BodyText"/>
        <w:spacing w:line="360" w:lineRule="auto"/>
        <w:ind w:left="300" w:right="315"/>
        <w:jc w:val="both"/>
      </w:pPr>
      <w:r>
        <w:rPr/>
        <w:t>Beer-Lambert law can be used to determine the </w:t>
      </w:r>
      <w:r>
        <w:rPr>
          <w:i/>
        </w:rPr>
        <w:t>ε </w:t>
      </w:r>
      <w:r>
        <w:rPr/>
        <w:t>values of a compound by recording its absorption spectra at known concentrations. Alternatively, knowledge of </w:t>
      </w:r>
      <w:r>
        <w:rPr>
          <w:i/>
        </w:rPr>
        <w:t>ε </w:t>
      </w:r>
      <w:r>
        <w:rPr/>
        <w:t>enables the user to calculate the concentration of a compound in a given solution. It is, however, not uncommon to observe deviations from the Beer-Lambert law. Three major reasons that are responsible for the breakdown of linear relationship between absorbance and the concentration of the absorbing molecule are:</w:t>
      </w:r>
    </w:p>
    <w:p>
      <w:pPr>
        <w:pStyle w:val="ListParagraph"/>
        <w:numPr>
          <w:ilvl w:val="0"/>
          <w:numId w:val="6"/>
        </w:numPr>
        <w:tabs>
          <w:tab w:pos="1066" w:val="left" w:leader="none"/>
        </w:tabs>
        <w:spacing w:line="360" w:lineRule="auto" w:before="199" w:after="0"/>
        <w:ind w:left="1065" w:right="313" w:hanging="488"/>
        <w:jc w:val="both"/>
        <w:rPr>
          <w:sz w:val="24"/>
        </w:rPr>
      </w:pPr>
      <w:r>
        <w:rPr>
          <w:i/>
          <w:sz w:val="24"/>
        </w:rPr>
        <w:t>High sample concentration</w:t>
      </w:r>
      <w:r>
        <w:rPr>
          <w:sz w:val="24"/>
        </w:rPr>
        <w:t>: The Beer-Lambert law generally holds good only for dilute solutions. At higher concentrations, the molecules come in close proximity thereby influencing their electronic properties. Although introduced as a constant at a particular wavelength for a compound, </w:t>
      </w:r>
      <w:r>
        <w:rPr>
          <w:i/>
          <w:sz w:val="24"/>
        </w:rPr>
        <w:t>ε </w:t>
      </w:r>
      <w:r>
        <w:rPr>
          <w:sz w:val="24"/>
        </w:rPr>
        <w:t>depends on the concentration of the compound and therefore results in deviation from linearity. At lower concentrations, however, </w:t>
      </w:r>
      <w:r>
        <w:rPr>
          <w:i/>
          <w:sz w:val="24"/>
        </w:rPr>
        <w:t>ε </w:t>
      </w:r>
      <w:r>
        <w:rPr>
          <w:sz w:val="24"/>
        </w:rPr>
        <w:t>can practically be assumed to be a</w:t>
      </w:r>
      <w:r>
        <w:rPr>
          <w:spacing w:val="-3"/>
          <w:sz w:val="24"/>
        </w:rPr>
        <w:t> </w:t>
      </w:r>
      <w:r>
        <w:rPr>
          <w:sz w:val="24"/>
        </w:rPr>
        <w:t>constant.</w:t>
      </w:r>
    </w:p>
    <w:p>
      <w:pPr>
        <w:pStyle w:val="ListParagraph"/>
        <w:numPr>
          <w:ilvl w:val="0"/>
          <w:numId w:val="6"/>
        </w:numPr>
        <w:tabs>
          <w:tab w:pos="1066" w:val="left" w:leader="none"/>
        </w:tabs>
        <w:spacing w:line="360" w:lineRule="auto" w:before="0" w:after="0"/>
        <w:ind w:left="1065" w:right="315" w:hanging="555"/>
        <w:jc w:val="both"/>
        <w:rPr>
          <w:sz w:val="24"/>
        </w:rPr>
      </w:pPr>
      <w:r>
        <w:rPr>
          <w:i/>
          <w:sz w:val="24"/>
        </w:rPr>
        <w:t>Chemical reactions</w:t>
      </w:r>
      <w:r>
        <w:rPr>
          <w:sz w:val="24"/>
        </w:rPr>
        <w:t>: </w:t>
      </w:r>
      <w:r>
        <w:rPr>
          <w:spacing w:val="-3"/>
          <w:sz w:val="24"/>
        </w:rPr>
        <w:t>If </w:t>
      </w:r>
      <w:r>
        <w:rPr>
          <w:sz w:val="24"/>
        </w:rPr>
        <w:t>a molecule undergoes a chemical reaction and the spectroscopic properties of the reacted and unreacted molecules differ, a deviation from Beer-Lambert law is observed. Change in the color of the pH indicator dyes is a classical example of this</w:t>
      </w:r>
      <w:r>
        <w:rPr>
          <w:spacing w:val="-6"/>
          <w:sz w:val="24"/>
        </w:rPr>
        <w:t> </w:t>
      </w:r>
      <w:r>
        <w:rPr>
          <w:sz w:val="24"/>
        </w:rPr>
        <w:t>phenomenon.</w:t>
      </w:r>
    </w:p>
    <w:p>
      <w:pPr>
        <w:spacing w:after="0" w:line="360" w:lineRule="auto"/>
        <w:jc w:val="both"/>
        <w:rPr>
          <w:sz w:val="24"/>
        </w:rPr>
        <w:sectPr>
          <w:pgSz w:w="11910" w:h="16840"/>
          <w:pgMar w:header="722" w:footer="748" w:top="1300" w:bottom="940" w:left="1500" w:right="1480"/>
        </w:sectPr>
      </w:pPr>
    </w:p>
    <w:p>
      <w:pPr>
        <w:pStyle w:val="ListParagraph"/>
        <w:numPr>
          <w:ilvl w:val="0"/>
          <w:numId w:val="6"/>
        </w:numPr>
        <w:tabs>
          <w:tab w:pos="1066" w:val="left" w:leader="none"/>
        </w:tabs>
        <w:spacing w:line="360" w:lineRule="auto" w:before="119" w:after="0"/>
        <w:ind w:left="1065" w:right="316" w:hanging="622"/>
        <w:jc w:val="both"/>
        <w:rPr>
          <w:sz w:val="24"/>
        </w:rPr>
      </w:pPr>
      <w:r>
        <w:rPr>
          <w:i/>
          <w:sz w:val="24"/>
        </w:rPr>
        <w:t>Instrumental factors</w:t>
      </w:r>
      <w:r>
        <w:rPr>
          <w:sz w:val="24"/>
        </w:rPr>
        <w:t>: As </w:t>
      </w:r>
      <w:r>
        <w:rPr>
          <w:i/>
          <w:sz w:val="24"/>
        </w:rPr>
        <w:t>ε </w:t>
      </w:r>
      <w:r>
        <w:rPr>
          <w:sz w:val="24"/>
        </w:rPr>
        <w:t>is a function of wavelength, Beer-Lambert law holds good only for monochromatic light. Use of polychromatic radiation will result in deviation for linearity between absorbance and</w:t>
      </w:r>
      <w:r>
        <w:rPr>
          <w:spacing w:val="-11"/>
          <w:sz w:val="24"/>
        </w:rPr>
        <w:t> </w:t>
      </w:r>
      <w:r>
        <w:rPr>
          <w:sz w:val="24"/>
        </w:rPr>
        <w:t>concentration.</w:t>
      </w:r>
    </w:p>
    <w:p>
      <w:pPr>
        <w:pStyle w:val="BodyText"/>
        <w:spacing w:line="360" w:lineRule="auto" w:before="201"/>
        <w:ind w:left="299" w:right="316"/>
        <w:jc w:val="both"/>
      </w:pPr>
      <w:r>
        <w:rPr/>
        <w:t>For practical purposes, the samples giving absorbance values between 0.05 – 0.5 are considered highly reliable. At lower concentrations, the signal to noise ratio is small while at higher concentrations, absorbance values underestimate the concentration of the compound as increase in absorbance no longer matches the increase in concentration. If the absorbance values are higher, a sample can be diluted or a sample cell with smaller path length can be used; usually dilution of sample is preferred.</w:t>
      </w:r>
    </w:p>
    <w:p>
      <w:pPr>
        <w:pStyle w:val="BodyText"/>
        <w:spacing w:line="360" w:lineRule="auto" w:before="200"/>
        <w:ind w:left="299" w:right="317"/>
        <w:jc w:val="both"/>
      </w:pPr>
      <w:r>
        <w:rPr/>
        <w:t>In the following lecture, we shall discuss the various factors that influence the absorption spectra of molecules and look at the applications of UV/Visible absorption spectroscopy for studying the biomolecules.</w:t>
      </w:r>
    </w:p>
    <w:p>
      <w:pPr>
        <w:spacing w:after="0" w:line="360" w:lineRule="auto"/>
        <w:jc w:val="both"/>
        <w:sectPr>
          <w:pgSz w:w="11910" w:h="16840"/>
          <w:pgMar w:header="722" w:footer="748" w:top="1300" w:bottom="940" w:left="1500" w:right="1480"/>
        </w:sectPr>
      </w:pPr>
    </w:p>
    <w:p>
      <w:pPr>
        <w:pStyle w:val="Heading2"/>
      </w:pPr>
      <w:r>
        <w:rPr/>
        <w:t>Lecture 5 UV/Visible Absorption Spectroscopy-II</w:t>
      </w:r>
    </w:p>
    <w:p>
      <w:pPr>
        <w:pStyle w:val="BodyText"/>
        <w:spacing w:before="10"/>
        <w:rPr>
          <w:b/>
          <w:sz w:val="32"/>
        </w:rPr>
      </w:pPr>
    </w:p>
    <w:p>
      <w:pPr>
        <w:pStyle w:val="BodyText"/>
        <w:spacing w:line="360" w:lineRule="auto" w:before="1"/>
        <w:ind w:left="300" w:right="313"/>
        <w:jc w:val="both"/>
      </w:pPr>
      <w:r>
        <w:rPr/>
        <w:t>In the previous lecture, we studied that UV/Visible radiation is absorbed by the molecules through transition of electrons in the chromophore from low energy molecular orbitals to higher energy molecular orbitals. We are interested in the transitions that lie in the far UV, near UV, and visible regions of the electromagnetic spectrum. The molecules that absorb in these regions invariably have unsaturated bonds. Plants are green due to unsaturated organic compounds, called chlorophylls. A highly unsaturated alkene, lycopene, imparts red color to the tomatoes (Figure 5.1).</w:t>
      </w:r>
    </w:p>
    <w:p>
      <w:pPr>
        <w:pStyle w:val="BodyText"/>
        <w:spacing w:before="1"/>
        <w:rPr>
          <w:sz w:val="18"/>
        </w:rPr>
      </w:pPr>
      <w:r>
        <w:rPr/>
        <w:drawing>
          <wp:anchor distT="0" distB="0" distL="0" distR="0" allowOverlap="1" layoutInCell="1" locked="0" behindDoc="0" simplePos="0" relativeHeight="48">
            <wp:simplePos x="0" y="0"/>
            <wp:positionH relativeFrom="page">
              <wp:posOffset>1317278</wp:posOffset>
            </wp:positionH>
            <wp:positionV relativeFrom="paragraph">
              <wp:posOffset>157043</wp:posOffset>
            </wp:positionV>
            <wp:extent cx="5078451" cy="737616"/>
            <wp:effectExtent l="0" t="0" r="0" b="0"/>
            <wp:wrapTopAndBottom/>
            <wp:docPr id="47" name="image26.jpeg" descr="Figure 5.1.tif"/>
            <wp:cNvGraphicFramePr>
              <a:graphicFrameLocks noChangeAspect="1"/>
            </wp:cNvGraphicFramePr>
            <a:graphic>
              <a:graphicData uri="http://schemas.openxmlformats.org/drawingml/2006/picture">
                <pic:pic>
                  <pic:nvPicPr>
                    <pic:cNvPr id="48" name="image26.jpeg"/>
                    <pic:cNvPicPr/>
                  </pic:nvPicPr>
                  <pic:blipFill>
                    <a:blip r:embed="rId34" cstate="print"/>
                    <a:stretch>
                      <a:fillRect/>
                    </a:stretch>
                  </pic:blipFill>
                  <pic:spPr>
                    <a:xfrm>
                      <a:off x="0" y="0"/>
                      <a:ext cx="5078451" cy="737616"/>
                    </a:xfrm>
                    <a:prstGeom prst="rect">
                      <a:avLst/>
                    </a:prstGeom>
                  </pic:spPr>
                </pic:pic>
              </a:graphicData>
            </a:graphic>
          </wp:anchor>
        </w:drawing>
      </w:r>
    </w:p>
    <w:p>
      <w:pPr>
        <w:pStyle w:val="BodyText"/>
        <w:rPr>
          <w:sz w:val="26"/>
        </w:rPr>
      </w:pPr>
    </w:p>
    <w:p>
      <w:pPr>
        <w:pStyle w:val="BodyText"/>
        <w:rPr>
          <w:sz w:val="26"/>
        </w:rPr>
      </w:pPr>
    </w:p>
    <w:p>
      <w:pPr>
        <w:spacing w:before="176"/>
        <w:ind w:left="796" w:right="617" w:firstLine="0"/>
        <w:jc w:val="center"/>
        <w:rPr>
          <w:b/>
          <w:sz w:val="16"/>
        </w:rPr>
      </w:pPr>
      <w:r>
        <w:rPr>
          <w:b/>
          <w:sz w:val="16"/>
        </w:rPr>
        <w:t>Figure 5.1 Structure of lycopene, the pigment that imparts red color to the tomatoes</w:t>
      </w:r>
    </w:p>
    <w:p>
      <w:pPr>
        <w:pStyle w:val="BodyText"/>
        <w:rPr>
          <w:b/>
          <w:sz w:val="18"/>
        </w:rPr>
      </w:pPr>
    </w:p>
    <w:p>
      <w:pPr>
        <w:pStyle w:val="BodyText"/>
        <w:rPr>
          <w:b/>
          <w:sz w:val="18"/>
        </w:rPr>
      </w:pPr>
    </w:p>
    <w:p>
      <w:pPr>
        <w:pStyle w:val="BodyText"/>
        <w:rPr>
          <w:b/>
          <w:sz w:val="25"/>
        </w:rPr>
      </w:pPr>
    </w:p>
    <w:p>
      <w:pPr>
        <w:pStyle w:val="BodyText"/>
        <w:spacing w:line="360" w:lineRule="auto"/>
        <w:ind w:left="300" w:right="316"/>
        <w:jc w:val="both"/>
      </w:pPr>
      <w:r>
        <w:rPr/>
        <w:t>As can be seen from its structure, lycopene is a highly conjugated alkene. As compared to the simple non-conjugated alkenes that typically absorb in vacuum UV region, absorption spectrum of lycopene is hugely shifted towards higher wavelengths (or lower energy). There can be factors that could shift the absorption spectra to smaller wavelengths or can increase/decrease the absorption intensity. Before understanding how conjugation causes shift in the absorption spectra, let us look at some important terms that are used to refer to the shifts in absorption spectra (Figure 5.2):</w:t>
      </w:r>
    </w:p>
    <w:p>
      <w:pPr>
        <w:spacing w:line="360" w:lineRule="auto" w:before="0"/>
        <w:ind w:left="299" w:right="765" w:firstLine="0"/>
        <w:jc w:val="left"/>
        <w:rPr>
          <w:sz w:val="24"/>
        </w:rPr>
      </w:pPr>
      <w:r>
        <w:rPr>
          <w:i/>
          <w:sz w:val="24"/>
        </w:rPr>
        <w:t>Bathochromic shift</w:t>
      </w:r>
      <w:r>
        <w:rPr>
          <w:sz w:val="24"/>
        </w:rPr>
        <w:t>: Shift of the absorption spectrum towards longer wavelength </w:t>
      </w:r>
      <w:r>
        <w:rPr>
          <w:i/>
          <w:sz w:val="24"/>
        </w:rPr>
        <w:t>Hypsochromic shift</w:t>
      </w:r>
      <w:r>
        <w:rPr>
          <w:sz w:val="24"/>
        </w:rPr>
        <w:t>: Shift of the absorption spectrum towards smaller wavelength </w:t>
      </w:r>
      <w:r>
        <w:rPr>
          <w:i/>
          <w:sz w:val="24"/>
        </w:rPr>
        <w:t>Hyperchromic shift</w:t>
      </w:r>
      <w:r>
        <w:rPr>
          <w:sz w:val="24"/>
        </w:rPr>
        <w:t>: An increase in the absorption intensity</w:t>
      </w:r>
    </w:p>
    <w:p>
      <w:pPr>
        <w:spacing w:line="275" w:lineRule="exact" w:before="0"/>
        <w:ind w:left="299" w:right="0" w:firstLine="0"/>
        <w:jc w:val="left"/>
        <w:rPr>
          <w:sz w:val="24"/>
        </w:rPr>
      </w:pPr>
      <w:r>
        <w:rPr>
          <w:i/>
          <w:sz w:val="24"/>
        </w:rPr>
        <w:t>Hypochromic shift</w:t>
      </w:r>
      <w:r>
        <w:rPr>
          <w:sz w:val="24"/>
        </w:rPr>
        <w:t>: A decrease in the absorption intensity</w:t>
      </w:r>
    </w:p>
    <w:p>
      <w:pPr>
        <w:spacing w:after="0" w:line="275" w:lineRule="exact"/>
        <w:jc w:val="left"/>
        <w:rPr>
          <w:sz w:val="24"/>
        </w:rPr>
        <w:sectPr>
          <w:pgSz w:w="11910" w:h="16840"/>
          <w:pgMar w:header="722" w:footer="748" w:top="1300" w:bottom="940" w:left="1500" w:right="1480"/>
        </w:sectPr>
      </w:pPr>
    </w:p>
    <w:p>
      <w:pPr>
        <w:pStyle w:val="BodyText"/>
        <w:spacing w:before="5" w:after="1"/>
        <w:rPr>
          <w:sz w:val="14"/>
        </w:rPr>
      </w:pPr>
    </w:p>
    <w:p>
      <w:pPr>
        <w:pStyle w:val="BodyText"/>
        <w:ind w:left="895"/>
        <w:rPr>
          <w:sz w:val="20"/>
        </w:rPr>
      </w:pPr>
      <w:r>
        <w:rPr>
          <w:sz w:val="20"/>
        </w:rPr>
        <w:drawing>
          <wp:inline distT="0" distB="0" distL="0" distR="0">
            <wp:extent cx="4702188" cy="3305270"/>
            <wp:effectExtent l="0" t="0" r="0" b="0"/>
            <wp:docPr id="49" name="image27.jpeg" descr="Figure 5.2.TIF"/>
            <wp:cNvGraphicFramePr>
              <a:graphicFrameLocks noChangeAspect="1"/>
            </wp:cNvGraphicFramePr>
            <a:graphic>
              <a:graphicData uri="http://schemas.openxmlformats.org/drawingml/2006/picture">
                <pic:pic>
                  <pic:nvPicPr>
                    <pic:cNvPr id="50" name="image27.jpeg"/>
                    <pic:cNvPicPr/>
                  </pic:nvPicPr>
                  <pic:blipFill>
                    <a:blip r:embed="rId35" cstate="print"/>
                    <a:stretch>
                      <a:fillRect/>
                    </a:stretch>
                  </pic:blipFill>
                  <pic:spPr>
                    <a:xfrm>
                      <a:off x="0" y="0"/>
                      <a:ext cx="4702188" cy="3305270"/>
                    </a:xfrm>
                    <a:prstGeom prst="rect">
                      <a:avLst/>
                    </a:prstGeom>
                  </pic:spPr>
                </pic:pic>
              </a:graphicData>
            </a:graphic>
          </wp:inline>
        </w:drawing>
      </w:r>
      <w:r>
        <w:rPr>
          <w:sz w:val="20"/>
        </w:rPr>
      </w:r>
    </w:p>
    <w:p>
      <w:pPr>
        <w:pStyle w:val="BodyText"/>
        <w:spacing w:before="10"/>
        <w:rPr>
          <w:sz w:val="21"/>
        </w:rPr>
      </w:pPr>
    </w:p>
    <w:p>
      <w:pPr>
        <w:spacing w:before="95"/>
        <w:ind w:left="794" w:right="617" w:firstLine="0"/>
        <w:jc w:val="center"/>
        <w:rPr>
          <w:b/>
          <w:sz w:val="16"/>
        </w:rPr>
      </w:pPr>
      <w:r>
        <w:rPr>
          <w:b/>
          <w:sz w:val="16"/>
        </w:rPr>
        <w:t>Figure 5.2 Terminology for shifts in absorption spectra</w:t>
      </w:r>
    </w:p>
    <w:p>
      <w:pPr>
        <w:pStyle w:val="BodyText"/>
        <w:rPr>
          <w:b/>
          <w:sz w:val="18"/>
        </w:rPr>
      </w:pPr>
    </w:p>
    <w:p>
      <w:pPr>
        <w:pStyle w:val="BodyText"/>
        <w:rPr>
          <w:b/>
          <w:sz w:val="18"/>
        </w:rPr>
      </w:pPr>
    </w:p>
    <w:p>
      <w:pPr>
        <w:pStyle w:val="BodyText"/>
        <w:rPr>
          <w:b/>
          <w:sz w:val="18"/>
        </w:rPr>
      </w:pPr>
    </w:p>
    <w:p>
      <w:pPr>
        <w:pStyle w:val="BodyText"/>
        <w:spacing w:before="3"/>
        <w:rPr>
          <w:b/>
        </w:rPr>
      </w:pPr>
    </w:p>
    <w:p>
      <w:pPr>
        <w:pStyle w:val="BodyText"/>
        <w:spacing w:line="360" w:lineRule="auto"/>
        <w:ind w:left="300" w:right="5203"/>
        <w:jc w:val="both"/>
      </w:pPr>
      <w:r>
        <w:rPr/>
        <w:pict>
          <v:shape style="position:absolute;margin-left:270.450012pt;margin-top:5.633113pt;width:233.25pt;height:114.3pt;mso-position-horizontal-relative:page;mso-position-vertical-relative:paragraph;z-index:15753728" type="#_x0000_t202" filled="true" fillcolor="#ffff00" stroked="true" strokeweight=".75pt" strokecolor="#000000">
            <v:textbox inset="0,0,0,0">
              <w:txbxContent>
                <w:p>
                  <w:pPr>
                    <w:pStyle w:val="BodyText"/>
                    <w:spacing w:line="276" w:lineRule="auto" w:before="67"/>
                    <w:ind w:left="144" w:right="141"/>
                    <w:jc w:val="both"/>
                  </w:pPr>
                  <w:r>
                    <w:rPr/>
                    <w:t>Energy levels of conjugated alkenes’ molecular orbitals: The energy levels of the orbitals increase as the number of vertical nodes increase. The lowest energy </w:t>
                  </w:r>
                  <w:r>
                    <w:rPr>
                      <w:i/>
                    </w:rPr>
                    <w:t>π </w:t>
                  </w:r>
                  <w:r>
                    <w:rPr/>
                    <w:t>orbital has no nodes while the highest energy </w:t>
                  </w:r>
                  <w:r>
                    <w:rPr>
                      <w:i/>
                    </w:rPr>
                    <w:t>π* </w:t>
                  </w:r>
                  <w:r>
                    <w:rPr/>
                    <w:t>orbital has </w:t>
                  </w:r>
                  <w:r>
                    <w:rPr>
                      <w:i/>
                    </w:rPr>
                    <w:t>n–1 </w:t>
                  </w:r>
                  <w:r>
                    <w:rPr/>
                    <w:t>nodes where </w:t>
                  </w:r>
                  <w:r>
                    <w:rPr>
                      <w:i/>
                    </w:rPr>
                    <w:t>n </w:t>
                  </w:r>
                  <w:r>
                    <w:rPr/>
                    <w:t>is the number of </w:t>
                  </w:r>
                  <w:r>
                    <w:rPr>
                      <w:i/>
                    </w:rPr>
                    <w:t>p</w:t>
                  </w:r>
                  <w:r>
                    <w:rPr/>
                    <w:t>–orbitals combined.</w:t>
                  </w:r>
                </w:p>
              </w:txbxContent>
            </v:textbox>
            <v:fill type="solid"/>
            <v:stroke dashstyle="solid"/>
            <w10:wrap type="none"/>
          </v:shape>
        </w:pict>
      </w:r>
      <w:r>
        <w:rPr>
          <w:b/>
        </w:rPr>
        <w:t>Conjugation: </w:t>
      </w:r>
      <w:r>
        <w:rPr/>
        <w:t>Conjugation brings about a bathochromic shift in the absorption bands. The higher the extent of conjugation, the more is the bathochromic shift. Such shift in absorption spectra can easily be</w:t>
      </w:r>
    </w:p>
    <w:p>
      <w:pPr>
        <w:pStyle w:val="BodyText"/>
        <w:ind w:left="300"/>
        <w:jc w:val="both"/>
      </w:pPr>
      <w:r>
        <w:rPr/>
        <w:t>explained using molecular orbital theory. Figure 5.3 shows the molecular orbitals</w:t>
      </w:r>
    </w:p>
    <w:p>
      <w:pPr>
        <w:pStyle w:val="BodyText"/>
        <w:spacing w:line="360" w:lineRule="auto" w:before="140"/>
        <w:ind w:left="300" w:right="313"/>
        <w:jc w:val="both"/>
      </w:pPr>
      <w:r>
        <w:rPr/>
        <w:t>drawn for ethylene; 1,3-butadiene; and 1,3,5-hexatriene on a qualitatively same energy scale for comparing their energies. As is clear from the figure, the energy differences between the highest occupied molecular orbital (HOMO) and the lowest unoccupied molecular orbital (LUMO) decreases as the conjugation increases. This provides an explanation as to why an electronic transition is possible at lower energy (higher wavelength) as the conjugation</w:t>
      </w:r>
      <w:r>
        <w:rPr>
          <w:spacing w:val="-4"/>
        </w:rPr>
        <w:t> </w:t>
      </w:r>
      <w:r>
        <w:rPr/>
        <w:t>increases.</w:t>
      </w:r>
    </w:p>
    <w:p>
      <w:pPr>
        <w:spacing w:after="0" w:line="360" w:lineRule="auto"/>
        <w:jc w:val="both"/>
        <w:sectPr>
          <w:pgSz w:w="11910" w:h="16840"/>
          <w:pgMar w:header="722" w:footer="748" w:top="1300" w:bottom="940" w:left="1500" w:right="1480"/>
        </w:sectPr>
      </w:pPr>
    </w:p>
    <w:p>
      <w:pPr>
        <w:pStyle w:val="BodyText"/>
        <w:spacing w:before="10" w:after="1"/>
        <w:rPr>
          <w:sz w:val="11"/>
        </w:rPr>
      </w:pPr>
    </w:p>
    <w:p>
      <w:pPr>
        <w:pStyle w:val="BodyText"/>
        <w:ind w:left="655"/>
        <w:rPr>
          <w:sz w:val="20"/>
        </w:rPr>
      </w:pPr>
      <w:r>
        <w:rPr>
          <w:sz w:val="20"/>
        </w:rPr>
        <w:drawing>
          <wp:inline distT="0" distB="0" distL="0" distR="0">
            <wp:extent cx="4970453" cy="3742944"/>
            <wp:effectExtent l="0" t="0" r="0" b="0"/>
            <wp:docPr id="51" name="image28.png" descr="figure 5.3.tif"/>
            <wp:cNvGraphicFramePr>
              <a:graphicFrameLocks noChangeAspect="1"/>
            </wp:cNvGraphicFramePr>
            <a:graphic>
              <a:graphicData uri="http://schemas.openxmlformats.org/drawingml/2006/picture">
                <pic:pic>
                  <pic:nvPicPr>
                    <pic:cNvPr id="52" name="image28.png"/>
                    <pic:cNvPicPr/>
                  </pic:nvPicPr>
                  <pic:blipFill>
                    <a:blip r:embed="rId36" cstate="print"/>
                    <a:stretch>
                      <a:fillRect/>
                    </a:stretch>
                  </pic:blipFill>
                  <pic:spPr>
                    <a:xfrm>
                      <a:off x="0" y="0"/>
                      <a:ext cx="4970453" cy="3742944"/>
                    </a:xfrm>
                    <a:prstGeom prst="rect">
                      <a:avLst/>
                    </a:prstGeom>
                  </pic:spPr>
                </pic:pic>
              </a:graphicData>
            </a:graphic>
          </wp:inline>
        </w:drawing>
      </w:r>
      <w:r>
        <w:rPr>
          <w:sz w:val="20"/>
        </w:rPr>
      </w:r>
    </w:p>
    <w:p>
      <w:pPr>
        <w:pStyle w:val="BodyText"/>
        <w:spacing w:before="5"/>
        <w:rPr>
          <w:sz w:val="23"/>
        </w:rPr>
      </w:pPr>
    </w:p>
    <w:p>
      <w:pPr>
        <w:spacing w:line="362" w:lineRule="auto" w:before="94"/>
        <w:ind w:left="496" w:right="0" w:firstLine="0"/>
        <w:jc w:val="left"/>
        <w:rPr>
          <w:b/>
          <w:sz w:val="16"/>
        </w:rPr>
      </w:pPr>
      <w:r>
        <w:rPr>
          <w:b/>
          <w:sz w:val="16"/>
        </w:rPr>
        <w:t>Figure 5.3 Molecular orbitals of ethylene; 1,3-butadiene; and 1,3,5-hexatriene. Notice the decrease in the energy gap of HOMO and LUMO as the conjugation increases.</w:t>
      </w:r>
    </w:p>
    <w:p>
      <w:pPr>
        <w:pStyle w:val="BodyText"/>
        <w:rPr>
          <w:b/>
          <w:sz w:val="18"/>
        </w:rPr>
      </w:pPr>
    </w:p>
    <w:p>
      <w:pPr>
        <w:pStyle w:val="BodyText"/>
        <w:rPr>
          <w:b/>
          <w:sz w:val="18"/>
        </w:rPr>
      </w:pPr>
    </w:p>
    <w:p>
      <w:pPr>
        <w:pStyle w:val="BodyText"/>
        <w:rPr>
          <w:b/>
          <w:sz w:val="18"/>
        </w:rPr>
      </w:pPr>
    </w:p>
    <w:p>
      <w:pPr>
        <w:pStyle w:val="BodyText"/>
        <w:spacing w:before="2"/>
        <w:rPr>
          <w:b/>
          <w:sz w:val="16"/>
        </w:rPr>
      </w:pPr>
    </w:p>
    <w:p>
      <w:pPr>
        <w:pStyle w:val="BodyText"/>
        <w:spacing w:line="360" w:lineRule="auto"/>
        <w:ind w:left="300" w:right="315"/>
        <w:jc w:val="both"/>
      </w:pPr>
      <w:r>
        <w:rPr>
          <w:b/>
        </w:rPr>
        <w:t>Auxochrome: </w:t>
      </w:r>
      <w:r>
        <w:rPr/>
        <w:t>Auxochromes are the chemical groups that result in a bathochromic shift when attached to a chromophore. The strongest auxochromes like –OH, –NH</w:t>
      </w:r>
      <w:r>
        <w:rPr>
          <w:vertAlign w:val="subscript"/>
        </w:rPr>
        <w:t>2</w:t>
      </w:r>
      <w:r>
        <w:rPr>
          <w:vertAlign w:val="baseline"/>
        </w:rPr>
        <w:t>, – OR, etc. possess nonbonding electrons. They exhibit bathochromism by extending conjugation through resonance.</w:t>
      </w:r>
    </w:p>
    <w:p>
      <w:pPr>
        <w:pStyle w:val="BodyText"/>
        <w:rPr>
          <w:sz w:val="17"/>
        </w:rPr>
      </w:pPr>
      <w:r>
        <w:rPr/>
        <w:drawing>
          <wp:anchor distT="0" distB="0" distL="0" distR="0" allowOverlap="1" layoutInCell="1" locked="0" behindDoc="0" simplePos="0" relativeHeight="50">
            <wp:simplePos x="0" y="0"/>
            <wp:positionH relativeFrom="page">
              <wp:posOffset>2846982</wp:posOffset>
            </wp:positionH>
            <wp:positionV relativeFrom="paragraph">
              <wp:posOffset>149395</wp:posOffset>
            </wp:positionV>
            <wp:extent cx="1904018" cy="352044"/>
            <wp:effectExtent l="0" t="0" r="0" b="0"/>
            <wp:wrapTopAndBottom/>
            <wp:docPr id="53" name="image29.png" descr="Auxochrome Resonance.tif"/>
            <wp:cNvGraphicFramePr>
              <a:graphicFrameLocks noChangeAspect="1"/>
            </wp:cNvGraphicFramePr>
            <a:graphic>
              <a:graphicData uri="http://schemas.openxmlformats.org/drawingml/2006/picture">
                <pic:pic>
                  <pic:nvPicPr>
                    <pic:cNvPr id="54" name="image29.png"/>
                    <pic:cNvPicPr/>
                  </pic:nvPicPr>
                  <pic:blipFill>
                    <a:blip r:embed="rId37" cstate="print"/>
                    <a:stretch>
                      <a:fillRect/>
                    </a:stretch>
                  </pic:blipFill>
                  <pic:spPr>
                    <a:xfrm>
                      <a:off x="0" y="0"/>
                      <a:ext cx="1904018" cy="352044"/>
                    </a:xfrm>
                    <a:prstGeom prst="rect">
                      <a:avLst/>
                    </a:prstGeom>
                  </pic:spPr>
                </pic:pic>
              </a:graphicData>
            </a:graphic>
          </wp:anchor>
        </w:drawing>
      </w:r>
    </w:p>
    <w:p>
      <w:pPr>
        <w:pStyle w:val="BodyText"/>
        <w:spacing w:before="6"/>
        <w:rPr>
          <w:sz w:val="27"/>
        </w:rPr>
      </w:pPr>
    </w:p>
    <w:p>
      <w:pPr>
        <w:pStyle w:val="BodyText"/>
        <w:spacing w:line="360" w:lineRule="auto"/>
        <w:ind w:left="300" w:right="315"/>
        <w:jc w:val="both"/>
      </w:pPr>
      <w:r>
        <w:rPr/>
        <w:t>The auxochrome modified chromophore is a new chromophore in real sense. The  term auxochrome is therefore rarely used these days, and the entire group (basic chromophore + auxochrome) can be considered as a chromophore different from the basic chromophore. Alkyl groups also result in the bathochromic shifts in the absorption spectra of alkenes. Alkyl groups do not have non-bonded electrons, and the effect is brought about by another type of interaction called</w:t>
      </w:r>
      <w:r>
        <w:rPr>
          <w:spacing w:val="-10"/>
        </w:rPr>
        <w:t> </w:t>
      </w:r>
      <w:r>
        <w:rPr>
          <w:i/>
        </w:rPr>
        <w:t>hyperconjugation</w:t>
      </w:r>
      <w:r>
        <w:rPr/>
        <w:t>.</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7"/>
        <w:jc w:val="both"/>
      </w:pPr>
      <w:r>
        <w:rPr>
          <w:b/>
        </w:rPr>
        <w:t>Solvents: </w:t>
      </w:r>
      <w:r>
        <w:rPr/>
        <w:t>The solvents used in any spectroscopic method should ideally be transparent (non-absorbing) to the electromagnetic radiation being used. Table 5.1 shows the wavelength cutoffs (the lowest working wavelength) of some of the solvents used in UV/visible</w:t>
      </w:r>
      <w:r>
        <w:rPr>
          <w:spacing w:val="-2"/>
        </w:rPr>
        <w:t> </w:t>
      </w:r>
      <w:r>
        <w:rPr/>
        <w:t>spectroscopy.</w:t>
      </w:r>
    </w:p>
    <w:p>
      <w:pPr>
        <w:pStyle w:val="BodyText"/>
        <w:spacing w:before="10"/>
        <w:rPr>
          <w:sz w:val="17"/>
        </w:rPr>
      </w:pPr>
    </w:p>
    <w:tbl>
      <w:tblPr>
        <w:tblW w:w="0" w:type="auto"/>
        <w:jc w:val="left"/>
        <w:tblInd w:w="1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90"/>
        <w:gridCol w:w="3324"/>
      </w:tblGrid>
      <w:tr>
        <w:trPr>
          <w:trHeight w:val="477" w:hRule="atLeast"/>
        </w:trPr>
        <w:tc>
          <w:tcPr>
            <w:tcW w:w="5714" w:type="dxa"/>
            <w:gridSpan w:val="2"/>
          </w:tcPr>
          <w:p>
            <w:pPr>
              <w:pStyle w:val="TableParagraph"/>
              <w:spacing w:line="183" w:lineRule="exact"/>
              <w:ind w:left="742" w:right="734"/>
              <w:jc w:val="center"/>
              <w:rPr>
                <w:b/>
                <w:sz w:val="16"/>
              </w:rPr>
            </w:pPr>
            <w:r>
              <w:rPr>
                <w:b/>
                <w:sz w:val="16"/>
              </w:rPr>
              <w:t>Table 5.1 Solvents commonly used in UV/visible spectroscopy</w:t>
            </w:r>
          </w:p>
        </w:tc>
      </w:tr>
      <w:tr>
        <w:trPr>
          <w:trHeight w:val="613" w:hRule="atLeast"/>
        </w:trPr>
        <w:tc>
          <w:tcPr>
            <w:tcW w:w="2390" w:type="dxa"/>
          </w:tcPr>
          <w:p>
            <w:pPr>
              <w:pStyle w:val="TableParagraph"/>
              <w:spacing w:line="275" w:lineRule="exact"/>
              <w:rPr>
                <w:b/>
                <w:sz w:val="24"/>
              </w:rPr>
            </w:pPr>
            <w:r>
              <w:rPr>
                <w:b/>
                <w:sz w:val="24"/>
              </w:rPr>
              <w:t>Solvent</w:t>
            </w:r>
          </w:p>
        </w:tc>
        <w:tc>
          <w:tcPr>
            <w:tcW w:w="3324" w:type="dxa"/>
          </w:tcPr>
          <w:p>
            <w:pPr>
              <w:pStyle w:val="TableParagraph"/>
              <w:spacing w:line="275" w:lineRule="exact"/>
              <w:ind w:left="697" w:right="689"/>
              <w:jc w:val="center"/>
              <w:rPr>
                <w:b/>
                <w:sz w:val="24"/>
              </w:rPr>
            </w:pPr>
            <w:r>
              <w:rPr>
                <w:b/>
                <w:sz w:val="24"/>
              </w:rPr>
              <w:t>Wavelength cutoff</w:t>
            </w:r>
          </w:p>
        </w:tc>
      </w:tr>
      <w:tr>
        <w:trPr>
          <w:trHeight w:val="614" w:hRule="atLeast"/>
        </w:trPr>
        <w:tc>
          <w:tcPr>
            <w:tcW w:w="2390" w:type="dxa"/>
          </w:tcPr>
          <w:p>
            <w:pPr>
              <w:pStyle w:val="TableParagraph"/>
              <w:rPr>
                <w:sz w:val="24"/>
              </w:rPr>
            </w:pPr>
            <w:r>
              <w:rPr>
                <w:sz w:val="24"/>
              </w:rPr>
              <w:t>Water</w:t>
            </w:r>
          </w:p>
        </w:tc>
        <w:tc>
          <w:tcPr>
            <w:tcW w:w="3324" w:type="dxa"/>
          </w:tcPr>
          <w:p>
            <w:pPr>
              <w:pStyle w:val="TableParagraph"/>
              <w:ind w:left="697" w:right="688"/>
              <w:jc w:val="center"/>
              <w:rPr>
                <w:sz w:val="24"/>
              </w:rPr>
            </w:pPr>
            <w:r>
              <w:rPr>
                <w:sz w:val="24"/>
              </w:rPr>
              <w:t>190 nm</w:t>
            </w:r>
          </w:p>
        </w:tc>
      </w:tr>
      <w:tr>
        <w:trPr>
          <w:trHeight w:val="613" w:hRule="atLeast"/>
        </w:trPr>
        <w:tc>
          <w:tcPr>
            <w:tcW w:w="2390" w:type="dxa"/>
          </w:tcPr>
          <w:p>
            <w:pPr>
              <w:pStyle w:val="TableParagraph"/>
              <w:rPr>
                <w:sz w:val="24"/>
              </w:rPr>
            </w:pPr>
            <w:r>
              <w:rPr>
                <w:sz w:val="24"/>
              </w:rPr>
              <w:t>Acetonitrile</w:t>
            </w:r>
          </w:p>
        </w:tc>
        <w:tc>
          <w:tcPr>
            <w:tcW w:w="3324" w:type="dxa"/>
          </w:tcPr>
          <w:p>
            <w:pPr>
              <w:pStyle w:val="TableParagraph"/>
              <w:ind w:left="697" w:right="688"/>
              <w:jc w:val="center"/>
              <w:rPr>
                <w:sz w:val="24"/>
              </w:rPr>
            </w:pPr>
            <w:r>
              <w:rPr>
                <w:sz w:val="24"/>
              </w:rPr>
              <w:t>190 nm</w:t>
            </w:r>
          </w:p>
        </w:tc>
      </w:tr>
      <w:tr>
        <w:trPr>
          <w:trHeight w:val="613" w:hRule="atLeast"/>
        </w:trPr>
        <w:tc>
          <w:tcPr>
            <w:tcW w:w="2390" w:type="dxa"/>
          </w:tcPr>
          <w:p>
            <w:pPr>
              <w:pStyle w:val="TableParagraph"/>
              <w:rPr>
                <w:sz w:val="24"/>
              </w:rPr>
            </w:pPr>
            <w:r>
              <w:rPr>
                <w:sz w:val="24"/>
              </w:rPr>
              <w:t>Cyclohexane</w:t>
            </w:r>
          </w:p>
        </w:tc>
        <w:tc>
          <w:tcPr>
            <w:tcW w:w="3324" w:type="dxa"/>
          </w:tcPr>
          <w:p>
            <w:pPr>
              <w:pStyle w:val="TableParagraph"/>
              <w:ind w:left="697" w:right="688"/>
              <w:jc w:val="center"/>
              <w:rPr>
                <w:sz w:val="24"/>
              </w:rPr>
            </w:pPr>
            <w:r>
              <w:rPr>
                <w:sz w:val="24"/>
              </w:rPr>
              <w:t>195 nm</w:t>
            </w:r>
          </w:p>
        </w:tc>
      </w:tr>
      <w:tr>
        <w:trPr>
          <w:trHeight w:val="614" w:hRule="atLeast"/>
        </w:trPr>
        <w:tc>
          <w:tcPr>
            <w:tcW w:w="2390" w:type="dxa"/>
          </w:tcPr>
          <w:p>
            <w:pPr>
              <w:pStyle w:val="TableParagraph"/>
              <w:rPr>
                <w:sz w:val="24"/>
              </w:rPr>
            </w:pPr>
            <w:r>
              <w:rPr>
                <w:sz w:val="24"/>
              </w:rPr>
              <w:t>Methanol</w:t>
            </w:r>
          </w:p>
        </w:tc>
        <w:tc>
          <w:tcPr>
            <w:tcW w:w="3324" w:type="dxa"/>
          </w:tcPr>
          <w:p>
            <w:pPr>
              <w:pStyle w:val="TableParagraph"/>
              <w:ind w:left="697" w:right="688"/>
              <w:jc w:val="center"/>
              <w:rPr>
                <w:sz w:val="24"/>
              </w:rPr>
            </w:pPr>
            <w:r>
              <w:rPr>
                <w:sz w:val="24"/>
              </w:rPr>
              <w:t>205 nm</w:t>
            </w:r>
          </w:p>
        </w:tc>
      </w:tr>
      <w:tr>
        <w:trPr>
          <w:trHeight w:val="613" w:hRule="atLeast"/>
        </w:trPr>
        <w:tc>
          <w:tcPr>
            <w:tcW w:w="2390" w:type="dxa"/>
          </w:tcPr>
          <w:p>
            <w:pPr>
              <w:pStyle w:val="TableParagraph"/>
              <w:rPr>
                <w:sz w:val="24"/>
              </w:rPr>
            </w:pPr>
            <w:r>
              <w:rPr>
                <w:sz w:val="24"/>
              </w:rPr>
              <w:t>95% ethanol</w:t>
            </w:r>
          </w:p>
        </w:tc>
        <w:tc>
          <w:tcPr>
            <w:tcW w:w="3324" w:type="dxa"/>
          </w:tcPr>
          <w:p>
            <w:pPr>
              <w:pStyle w:val="TableParagraph"/>
              <w:ind w:left="697" w:right="688"/>
              <w:jc w:val="center"/>
              <w:rPr>
                <w:sz w:val="24"/>
              </w:rPr>
            </w:pPr>
            <w:r>
              <w:rPr>
                <w:sz w:val="24"/>
              </w:rPr>
              <w:t>205 nm</w:t>
            </w:r>
          </w:p>
        </w:tc>
      </w:tr>
    </w:tbl>
    <w:p>
      <w:pPr>
        <w:pStyle w:val="BodyText"/>
        <w:rPr>
          <w:sz w:val="26"/>
        </w:rPr>
      </w:pPr>
    </w:p>
    <w:p>
      <w:pPr>
        <w:pStyle w:val="BodyText"/>
        <w:spacing w:before="10"/>
        <w:rPr>
          <w:sz w:val="26"/>
        </w:rPr>
      </w:pPr>
    </w:p>
    <w:p>
      <w:pPr>
        <w:pStyle w:val="BodyText"/>
        <w:spacing w:line="360" w:lineRule="auto"/>
        <w:ind w:left="300" w:right="315"/>
        <w:jc w:val="both"/>
      </w:pPr>
      <w:r>
        <w:rPr/>
        <w:t>Water, the solvent of biological systems, thankfully is transparent to the UV/visible region of interest </w:t>
      </w:r>
      <w:r>
        <w:rPr>
          <w:i/>
        </w:rPr>
        <w:t>i.e. </w:t>
      </w:r>
      <w:r>
        <w:rPr/>
        <w:t>the regions above </w:t>
      </w:r>
      <w:r>
        <w:rPr>
          <w:i/>
        </w:rPr>
        <w:t>λ </w:t>
      </w:r>
      <w:r>
        <w:rPr/>
        <w:t>&gt; 190 nm. Solvents also play important role on the absorption spectra of molecules. Spectrum of a compound recorded in one solvent can look significantly different in intensity, wavelength of absorption, or both from that recorded in another. This is not something unexpected because energies of different electronic states will depend on their interaction with solvents. Polarity of solvents is an important factor in causing shifts in the absorption spectra. Conjugated dienes and aromatic hydrocarbons are little affected by the changes in solvent polarity. α,β-unsaturated carbonyl compounds are fairly sensitive to the solvent polarity. The two electronic transitions </w:t>
      </w:r>
      <w:r>
        <w:rPr>
          <w:i/>
        </w:rPr>
        <w:t>π → π* </w:t>
      </w:r>
      <w:r>
        <w:rPr/>
        <w:t>and </w:t>
      </w:r>
      <w:r>
        <w:rPr>
          <w:i/>
        </w:rPr>
        <w:t>n → π* </w:t>
      </w:r>
      <w:r>
        <w:rPr/>
        <w:t>respond differently to the changes in polarity. Polar solvents stabilize all the three molecular orbitals (</w:t>
      </w:r>
      <w:r>
        <w:rPr>
          <w:i/>
        </w:rPr>
        <w:t>n, π, </w:t>
      </w:r>
      <w:r>
        <w:rPr/>
        <w:t>and </w:t>
      </w:r>
      <w:r>
        <w:rPr>
          <w:i/>
        </w:rPr>
        <w:t>π*</w:t>
      </w:r>
      <w:r>
        <w:rPr/>
        <w:t>), albeit to different extents (Figure 5.4). The non-bonding orbitals are stabilized most, followed by π*. This results in a bathochromic shift in the </w:t>
      </w:r>
      <w:r>
        <w:rPr>
          <w:i/>
        </w:rPr>
        <w:t>π → π* </w:t>
      </w:r>
      <w:r>
        <w:rPr/>
        <w:t>absorption band while a hypsochromic shift in </w:t>
      </w:r>
      <w:r>
        <w:rPr>
          <w:i/>
        </w:rPr>
        <w:t>n → π* </w:t>
      </w:r>
      <w:r>
        <w:rPr/>
        <w:t>absorption band. Shift to different extents of the two bands will result in the different shape of the overall absorption</w:t>
      </w:r>
      <w:r>
        <w:rPr>
          <w:spacing w:val="-14"/>
        </w:rPr>
        <w:t> </w:t>
      </w:r>
      <w:r>
        <w:rPr/>
        <w:t>spectrum.</w:t>
      </w:r>
    </w:p>
    <w:p>
      <w:pPr>
        <w:spacing w:after="0" w:line="360" w:lineRule="auto"/>
        <w:jc w:val="both"/>
        <w:sectPr>
          <w:pgSz w:w="11910" w:h="16840"/>
          <w:pgMar w:header="722" w:footer="748" w:top="1300" w:bottom="940" w:left="1500" w:right="1480"/>
        </w:sectPr>
      </w:pPr>
    </w:p>
    <w:p>
      <w:pPr>
        <w:pStyle w:val="BodyText"/>
        <w:spacing w:before="5"/>
        <w:rPr>
          <w:sz w:val="14"/>
        </w:rPr>
      </w:pPr>
    </w:p>
    <w:p>
      <w:pPr>
        <w:pStyle w:val="BodyText"/>
        <w:ind w:left="1927"/>
        <w:rPr>
          <w:sz w:val="20"/>
        </w:rPr>
      </w:pPr>
      <w:r>
        <w:rPr>
          <w:sz w:val="20"/>
        </w:rPr>
        <w:drawing>
          <wp:inline distT="0" distB="0" distL="0" distR="0">
            <wp:extent cx="3339762" cy="3852672"/>
            <wp:effectExtent l="0" t="0" r="0" b="0"/>
            <wp:docPr id="55" name="image30.jpeg" descr="Figure 5.4.tif"/>
            <wp:cNvGraphicFramePr>
              <a:graphicFrameLocks noChangeAspect="1"/>
            </wp:cNvGraphicFramePr>
            <a:graphic>
              <a:graphicData uri="http://schemas.openxmlformats.org/drawingml/2006/picture">
                <pic:pic>
                  <pic:nvPicPr>
                    <pic:cNvPr id="56" name="image30.jpeg"/>
                    <pic:cNvPicPr/>
                  </pic:nvPicPr>
                  <pic:blipFill>
                    <a:blip r:embed="rId38" cstate="print"/>
                    <a:stretch>
                      <a:fillRect/>
                    </a:stretch>
                  </pic:blipFill>
                  <pic:spPr>
                    <a:xfrm>
                      <a:off x="0" y="0"/>
                      <a:ext cx="3339762" cy="3852672"/>
                    </a:xfrm>
                    <a:prstGeom prst="rect">
                      <a:avLst/>
                    </a:prstGeom>
                  </pic:spPr>
                </pic:pic>
              </a:graphicData>
            </a:graphic>
          </wp:inline>
        </w:drawing>
      </w:r>
      <w:r>
        <w:rPr>
          <w:sz w:val="20"/>
        </w:rPr>
      </w:r>
    </w:p>
    <w:p>
      <w:pPr>
        <w:pStyle w:val="BodyText"/>
        <w:spacing w:before="8"/>
        <w:rPr>
          <w:sz w:val="26"/>
        </w:rPr>
      </w:pPr>
    </w:p>
    <w:p>
      <w:pPr>
        <w:spacing w:before="94"/>
        <w:ind w:left="793" w:right="617" w:firstLine="0"/>
        <w:jc w:val="center"/>
        <w:rPr>
          <w:b/>
          <w:sz w:val="16"/>
        </w:rPr>
      </w:pPr>
      <w:r>
        <w:rPr>
          <w:b/>
          <w:sz w:val="16"/>
        </w:rPr>
        <w:t>Figure 5.4 Differential stabilization of molecular orbitals in polar solvents</w:t>
      </w:r>
    </w:p>
    <w:p>
      <w:pPr>
        <w:pStyle w:val="BodyText"/>
        <w:rPr>
          <w:b/>
          <w:sz w:val="18"/>
        </w:rPr>
      </w:pPr>
    </w:p>
    <w:p>
      <w:pPr>
        <w:pStyle w:val="BodyText"/>
        <w:rPr>
          <w:b/>
          <w:sz w:val="18"/>
        </w:rPr>
      </w:pPr>
    </w:p>
    <w:p>
      <w:pPr>
        <w:pStyle w:val="BodyText"/>
        <w:rPr>
          <w:b/>
          <w:sz w:val="18"/>
        </w:rPr>
      </w:pPr>
    </w:p>
    <w:p>
      <w:pPr>
        <w:pStyle w:val="BodyText"/>
        <w:spacing w:before="9"/>
        <w:rPr>
          <w:b/>
        </w:rPr>
      </w:pPr>
    </w:p>
    <w:p>
      <w:pPr>
        <w:pStyle w:val="Heading4"/>
      </w:pPr>
      <w:r>
        <w:rPr/>
        <w:t>Biological chromophores</w:t>
      </w:r>
    </w:p>
    <w:p>
      <w:pPr>
        <w:pStyle w:val="BodyText"/>
        <w:rPr>
          <w:b/>
          <w:sz w:val="29"/>
        </w:rPr>
      </w:pPr>
    </w:p>
    <w:p>
      <w:pPr>
        <w:pStyle w:val="BodyText"/>
        <w:spacing w:line="360" w:lineRule="auto"/>
        <w:ind w:left="299" w:right="316"/>
        <w:jc w:val="both"/>
      </w:pPr>
      <w:r>
        <w:rPr>
          <w:i/>
        </w:rPr>
        <w:t>Amino acids and proteins: </w:t>
      </w:r>
      <w:r>
        <w:rPr/>
        <w:t>Among the 20 amino acids that constitute the proteins, tryptophan, tyrosine, and phenylalanine absorb in the near UV region. All the three amino acids show structured absorption spectra. The absorption by phenylalanine is weak</w:t>
      </w:r>
      <w:r>
        <w:rPr>
          <w:spacing w:val="43"/>
        </w:rPr>
        <w:t> </w:t>
      </w:r>
      <w:r>
        <w:rPr/>
        <w:t>with</w:t>
      </w:r>
      <w:r>
        <w:rPr>
          <w:spacing w:val="43"/>
        </w:rPr>
        <w:t> </w:t>
      </w:r>
      <w:r>
        <w:rPr/>
        <w:t>an</w:t>
      </w:r>
      <w:r>
        <w:rPr>
          <w:spacing w:val="46"/>
        </w:rPr>
        <w:t> </w:t>
      </w:r>
      <w:r>
        <w:rPr>
          <w:i/>
        </w:rPr>
        <w:t>ε</w:t>
      </w:r>
      <w:r>
        <w:rPr>
          <w:i/>
          <w:vertAlign w:val="subscript"/>
        </w:rPr>
        <w:t>max</w:t>
      </w:r>
      <w:r>
        <w:rPr>
          <w:i/>
          <w:spacing w:val="44"/>
          <w:vertAlign w:val="baseline"/>
        </w:rPr>
        <w:t> </w:t>
      </w:r>
      <w:r>
        <w:rPr>
          <w:vertAlign w:val="baseline"/>
        </w:rPr>
        <w:t>of</w:t>
      </w:r>
      <w:r>
        <w:rPr>
          <w:spacing w:val="43"/>
          <w:vertAlign w:val="baseline"/>
        </w:rPr>
        <w:t> </w:t>
      </w:r>
      <w:r>
        <w:rPr>
          <w:vertAlign w:val="baseline"/>
        </w:rPr>
        <w:t>~200</w:t>
      </w:r>
      <w:r>
        <w:rPr>
          <w:spacing w:val="43"/>
          <w:vertAlign w:val="baseline"/>
        </w:rPr>
        <w:t> </w:t>
      </w:r>
      <w:r>
        <w:rPr>
          <w:vertAlign w:val="baseline"/>
        </w:rPr>
        <w:t>M</w:t>
      </w:r>
      <w:r>
        <w:rPr>
          <w:vertAlign w:val="superscript"/>
        </w:rPr>
        <w:t>-1</w:t>
      </w:r>
      <w:r>
        <w:rPr>
          <w:vertAlign w:val="baseline"/>
        </w:rPr>
        <w:t>cm</w:t>
      </w:r>
      <w:r>
        <w:rPr>
          <w:vertAlign w:val="superscript"/>
        </w:rPr>
        <w:t>-1</w:t>
      </w:r>
      <w:r>
        <w:rPr>
          <w:spacing w:val="44"/>
          <w:vertAlign w:val="baseline"/>
        </w:rPr>
        <w:t> </w:t>
      </w:r>
      <w:r>
        <w:rPr>
          <w:vertAlign w:val="baseline"/>
        </w:rPr>
        <w:t>at</w:t>
      </w:r>
      <w:r>
        <w:rPr>
          <w:spacing w:val="44"/>
          <w:vertAlign w:val="baseline"/>
        </w:rPr>
        <w:t> </w:t>
      </w:r>
      <w:r>
        <w:rPr>
          <w:vertAlign w:val="baseline"/>
        </w:rPr>
        <w:t>~250</w:t>
      </w:r>
      <w:r>
        <w:rPr>
          <w:spacing w:val="44"/>
          <w:vertAlign w:val="baseline"/>
        </w:rPr>
        <w:t> </w:t>
      </w:r>
      <w:r>
        <w:rPr>
          <w:vertAlign w:val="baseline"/>
        </w:rPr>
        <w:t>nm.</w:t>
      </w:r>
      <w:r>
        <w:rPr>
          <w:spacing w:val="43"/>
          <w:vertAlign w:val="baseline"/>
        </w:rPr>
        <w:t> </w:t>
      </w:r>
      <w:r>
        <w:rPr>
          <w:vertAlign w:val="baseline"/>
        </w:rPr>
        <w:t>Molar</w:t>
      </w:r>
      <w:r>
        <w:rPr>
          <w:spacing w:val="42"/>
          <w:vertAlign w:val="baseline"/>
        </w:rPr>
        <w:t> </w:t>
      </w:r>
      <w:r>
        <w:rPr>
          <w:vertAlign w:val="baseline"/>
        </w:rPr>
        <w:t>absorption</w:t>
      </w:r>
      <w:r>
        <w:rPr>
          <w:spacing w:val="43"/>
          <w:vertAlign w:val="baseline"/>
        </w:rPr>
        <w:t> </w:t>
      </w:r>
      <w:r>
        <w:rPr>
          <w:vertAlign w:val="baseline"/>
        </w:rPr>
        <w:t>coefficients</w:t>
      </w:r>
      <w:r>
        <w:rPr>
          <w:spacing w:val="44"/>
          <w:vertAlign w:val="baseline"/>
        </w:rPr>
        <w:t> </w:t>
      </w:r>
      <w:r>
        <w:rPr>
          <w:vertAlign w:val="baseline"/>
        </w:rPr>
        <w:t>of</w:t>
      </w:r>
    </w:p>
    <w:p>
      <w:pPr>
        <w:pStyle w:val="BodyText"/>
        <w:spacing w:line="360" w:lineRule="auto"/>
        <w:ind w:left="300" w:right="315"/>
        <w:jc w:val="both"/>
      </w:pPr>
      <w:r>
        <w:rPr/>
        <w:t>~1400 M</w:t>
      </w:r>
      <w:r>
        <w:rPr>
          <w:vertAlign w:val="superscript"/>
        </w:rPr>
        <w:t>-1</w:t>
      </w:r>
      <w:r>
        <w:rPr>
          <w:vertAlign w:val="baseline"/>
        </w:rPr>
        <w:t>cm</w:t>
      </w:r>
      <w:r>
        <w:rPr>
          <w:vertAlign w:val="superscript"/>
        </w:rPr>
        <w:t>-1</w:t>
      </w:r>
      <w:r>
        <w:rPr>
          <w:vertAlign w:val="baseline"/>
        </w:rPr>
        <w:t> at 274 nm and ~5700 M</w:t>
      </w:r>
      <w:r>
        <w:rPr>
          <w:vertAlign w:val="superscript"/>
        </w:rPr>
        <w:t>-1</w:t>
      </w:r>
      <w:r>
        <w:rPr>
          <w:vertAlign w:val="baseline"/>
        </w:rPr>
        <w:t>cm</w:t>
      </w:r>
      <w:r>
        <w:rPr>
          <w:vertAlign w:val="superscript"/>
        </w:rPr>
        <w:t>-1</w:t>
      </w:r>
      <w:r>
        <w:rPr>
          <w:vertAlign w:val="baseline"/>
        </w:rPr>
        <w:t> at 280 nm are observed for tyrosine and tryptophan, respectively. Disulfide linkages, formed through oxidation of cysteine resides, also contribute to the absorption of proteins in near UV region with a weak </w:t>
      </w:r>
      <w:r>
        <w:rPr>
          <w:i/>
          <w:vertAlign w:val="baseline"/>
        </w:rPr>
        <w:t>ε</w:t>
      </w:r>
      <w:r>
        <w:rPr>
          <w:i/>
          <w:vertAlign w:val="subscript"/>
        </w:rPr>
        <w:t>max</w:t>
      </w:r>
      <w:r>
        <w:rPr>
          <w:i/>
          <w:vertAlign w:val="baseline"/>
        </w:rPr>
        <w:t> </w:t>
      </w:r>
      <w:r>
        <w:rPr>
          <w:vertAlign w:val="baseline"/>
        </w:rPr>
        <w:t>of ~300 M</w:t>
      </w:r>
      <w:r>
        <w:rPr>
          <w:vertAlign w:val="superscript"/>
        </w:rPr>
        <w:t>-1</w:t>
      </w:r>
      <w:r>
        <w:rPr>
          <w:vertAlign w:val="baseline"/>
        </w:rPr>
        <w:t>cm</w:t>
      </w:r>
      <w:r>
        <w:rPr>
          <w:vertAlign w:val="superscript"/>
        </w:rPr>
        <w:t>-1</w:t>
      </w:r>
      <w:r>
        <w:rPr>
          <w:vertAlign w:val="baseline"/>
        </w:rPr>
        <w:t> around 250-270 nm. The absorption spectra of proteins are therefore largely dominated by Tyr and Trp in the near UV region. </w:t>
      </w:r>
      <w:r>
        <w:rPr>
          <w:spacing w:val="-3"/>
          <w:vertAlign w:val="baseline"/>
        </w:rPr>
        <w:t>In </w:t>
      </w:r>
      <w:r>
        <w:rPr>
          <w:vertAlign w:val="baseline"/>
        </w:rPr>
        <w:t>the far UV region, peptide bond emerges as the most important chromophore in the proteins. The peptide bond displays a weak </w:t>
      </w:r>
      <w:r>
        <w:rPr>
          <w:i/>
          <w:vertAlign w:val="baseline"/>
        </w:rPr>
        <w:t>n → π* </w:t>
      </w:r>
      <w:r>
        <w:rPr>
          <w:vertAlign w:val="baseline"/>
        </w:rPr>
        <w:t>transition (</w:t>
      </w:r>
      <w:r>
        <w:rPr>
          <w:i/>
          <w:vertAlign w:val="baseline"/>
        </w:rPr>
        <w:t>ε</w:t>
      </w:r>
      <w:r>
        <w:rPr>
          <w:i/>
          <w:vertAlign w:val="subscript"/>
        </w:rPr>
        <w:t>max</w:t>
      </w:r>
      <w:r>
        <w:rPr>
          <w:i/>
          <w:vertAlign w:val="baseline"/>
        </w:rPr>
        <w:t> </w:t>
      </w:r>
      <w:r>
        <w:rPr>
          <w:vertAlign w:val="baseline"/>
        </w:rPr>
        <w:t>≈ 100 M</w:t>
      </w:r>
      <w:r>
        <w:rPr>
          <w:vertAlign w:val="superscript"/>
        </w:rPr>
        <w:t>-1</w:t>
      </w:r>
      <w:r>
        <w:rPr>
          <w:vertAlign w:val="baseline"/>
        </w:rPr>
        <w:t>cm</w:t>
      </w:r>
      <w:r>
        <w:rPr>
          <w:vertAlign w:val="superscript"/>
        </w:rPr>
        <w:t>-1</w:t>
      </w:r>
      <w:r>
        <w:rPr>
          <w:vertAlign w:val="baseline"/>
        </w:rPr>
        <w:t>) between 210- 230 nm, the exact band position determined by the H-bonding interactions the peptide backbone is involved in. A strong </w:t>
      </w:r>
      <w:r>
        <w:rPr>
          <w:i/>
          <w:vertAlign w:val="baseline"/>
        </w:rPr>
        <w:t>π → π* </w:t>
      </w:r>
      <w:r>
        <w:rPr>
          <w:vertAlign w:val="baseline"/>
        </w:rPr>
        <w:t>transition (</w:t>
      </w:r>
      <w:r>
        <w:rPr>
          <w:i/>
          <w:vertAlign w:val="baseline"/>
        </w:rPr>
        <w:t>ε</w:t>
      </w:r>
      <w:r>
        <w:rPr>
          <w:i/>
          <w:vertAlign w:val="subscript"/>
        </w:rPr>
        <w:t>max</w:t>
      </w:r>
      <w:r>
        <w:rPr>
          <w:i/>
          <w:vertAlign w:val="baseline"/>
        </w:rPr>
        <w:t> </w:t>
      </w:r>
      <w:r>
        <w:rPr>
          <w:vertAlign w:val="baseline"/>
        </w:rPr>
        <w:t>≈ 7000 M</w:t>
      </w:r>
      <w:r>
        <w:rPr>
          <w:vertAlign w:val="superscript"/>
        </w:rPr>
        <w:t>-1</w:t>
      </w:r>
      <w:r>
        <w:rPr>
          <w:vertAlign w:val="baseline"/>
        </w:rPr>
        <w:t>cm</w:t>
      </w:r>
      <w:r>
        <w:rPr>
          <w:vertAlign w:val="superscript"/>
        </w:rPr>
        <w:t>-1</w:t>
      </w:r>
      <w:r>
        <w:rPr>
          <w:vertAlign w:val="baseline"/>
        </w:rPr>
        <w:t>)  is observed</w:t>
      </w:r>
      <w:r>
        <w:rPr>
          <w:spacing w:val="7"/>
          <w:vertAlign w:val="baseline"/>
        </w:rPr>
        <w:t> </w:t>
      </w:r>
      <w:r>
        <w:rPr>
          <w:vertAlign w:val="baseline"/>
        </w:rPr>
        <w:t>around</w:t>
      </w:r>
      <w:r>
        <w:rPr>
          <w:spacing w:val="6"/>
          <w:vertAlign w:val="baseline"/>
        </w:rPr>
        <w:t> </w:t>
      </w:r>
      <w:r>
        <w:rPr>
          <w:vertAlign w:val="baseline"/>
        </w:rPr>
        <w:t>190</w:t>
      </w:r>
      <w:r>
        <w:rPr>
          <w:spacing w:val="6"/>
          <w:vertAlign w:val="baseline"/>
        </w:rPr>
        <w:t> </w:t>
      </w:r>
      <w:r>
        <w:rPr>
          <w:vertAlign w:val="baseline"/>
        </w:rPr>
        <w:t>nm.</w:t>
      </w:r>
      <w:r>
        <w:rPr>
          <w:spacing w:val="6"/>
          <w:vertAlign w:val="baseline"/>
        </w:rPr>
        <w:t> </w:t>
      </w:r>
      <w:r>
        <w:rPr>
          <w:vertAlign w:val="baseline"/>
        </w:rPr>
        <w:t>Side</w:t>
      </w:r>
      <w:r>
        <w:rPr>
          <w:spacing w:val="5"/>
          <w:vertAlign w:val="baseline"/>
        </w:rPr>
        <w:t> </w:t>
      </w:r>
      <w:r>
        <w:rPr>
          <w:vertAlign w:val="baseline"/>
        </w:rPr>
        <w:t>chains</w:t>
      </w:r>
      <w:r>
        <w:rPr>
          <w:spacing w:val="6"/>
          <w:vertAlign w:val="baseline"/>
        </w:rPr>
        <w:t> </w:t>
      </w:r>
      <w:r>
        <w:rPr>
          <w:vertAlign w:val="baseline"/>
        </w:rPr>
        <w:t>of</w:t>
      </w:r>
      <w:r>
        <w:rPr>
          <w:spacing w:val="7"/>
          <w:vertAlign w:val="baseline"/>
        </w:rPr>
        <w:t> </w:t>
      </w:r>
      <w:r>
        <w:rPr>
          <w:vertAlign w:val="baseline"/>
        </w:rPr>
        <w:t>Asp,</w:t>
      </w:r>
      <w:r>
        <w:rPr>
          <w:spacing w:val="6"/>
          <w:vertAlign w:val="baseline"/>
        </w:rPr>
        <w:t> </w:t>
      </w:r>
      <w:r>
        <w:rPr>
          <w:vertAlign w:val="baseline"/>
        </w:rPr>
        <w:t>Glu,</w:t>
      </w:r>
      <w:r>
        <w:rPr>
          <w:spacing w:val="6"/>
          <w:vertAlign w:val="baseline"/>
        </w:rPr>
        <w:t> </w:t>
      </w:r>
      <w:r>
        <w:rPr>
          <w:vertAlign w:val="baseline"/>
        </w:rPr>
        <w:t>Asn,</w:t>
      </w:r>
      <w:r>
        <w:rPr>
          <w:spacing w:val="6"/>
          <w:vertAlign w:val="baseline"/>
        </w:rPr>
        <w:t> </w:t>
      </w:r>
      <w:r>
        <w:rPr>
          <w:vertAlign w:val="baseline"/>
        </w:rPr>
        <w:t>Gln,</w:t>
      </w:r>
      <w:r>
        <w:rPr>
          <w:spacing w:val="6"/>
          <w:vertAlign w:val="baseline"/>
        </w:rPr>
        <w:t> </w:t>
      </w:r>
      <w:r>
        <w:rPr>
          <w:vertAlign w:val="baseline"/>
        </w:rPr>
        <w:t>Arg,</w:t>
      </w:r>
      <w:r>
        <w:rPr>
          <w:spacing w:val="8"/>
          <w:vertAlign w:val="baseline"/>
        </w:rPr>
        <w:t> </w:t>
      </w:r>
      <w:r>
        <w:rPr>
          <w:vertAlign w:val="baseline"/>
        </w:rPr>
        <w:t>His</w:t>
      </w:r>
      <w:r>
        <w:rPr>
          <w:spacing w:val="6"/>
          <w:vertAlign w:val="baseline"/>
        </w:rPr>
        <w:t> </w:t>
      </w:r>
      <w:r>
        <w:rPr>
          <w:vertAlign w:val="baseline"/>
        </w:rPr>
        <w:t>also</w:t>
      </w:r>
      <w:r>
        <w:rPr>
          <w:spacing w:val="8"/>
          <w:vertAlign w:val="baseline"/>
        </w:rPr>
        <w:t> </w:t>
      </w:r>
      <w:r>
        <w:rPr>
          <w:vertAlign w:val="baseline"/>
        </w:rPr>
        <w:t>contribute</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7"/>
        <w:jc w:val="both"/>
      </w:pPr>
      <w:r>
        <w:rPr/>
        <w:t>to the absorbance in the far UV region. Figure 5.5 shows an absorption spectrum of a peptide</w:t>
      </w:r>
    </w:p>
    <w:p>
      <w:pPr>
        <w:pStyle w:val="BodyText"/>
        <w:spacing w:before="3"/>
        <w:rPr>
          <w:sz w:val="18"/>
        </w:rPr>
      </w:pPr>
      <w:r>
        <w:rPr/>
        <w:drawing>
          <wp:anchor distT="0" distB="0" distL="0" distR="0" allowOverlap="1" layoutInCell="1" locked="0" behindDoc="0" simplePos="0" relativeHeight="51">
            <wp:simplePos x="0" y="0"/>
            <wp:positionH relativeFrom="page">
              <wp:posOffset>1948969</wp:posOffset>
            </wp:positionH>
            <wp:positionV relativeFrom="paragraph">
              <wp:posOffset>158118</wp:posOffset>
            </wp:positionV>
            <wp:extent cx="3852876" cy="2363724"/>
            <wp:effectExtent l="0" t="0" r="0" b="0"/>
            <wp:wrapTopAndBottom/>
            <wp:docPr id="57" name="image31.png"/>
            <wp:cNvGraphicFramePr>
              <a:graphicFrameLocks noChangeAspect="1"/>
            </wp:cNvGraphicFramePr>
            <a:graphic>
              <a:graphicData uri="http://schemas.openxmlformats.org/drawingml/2006/picture">
                <pic:pic>
                  <pic:nvPicPr>
                    <pic:cNvPr id="58" name="image31.png"/>
                    <pic:cNvPicPr/>
                  </pic:nvPicPr>
                  <pic:blipFill>
                    <a:blip r:embed="rId39" cstate="print"/>
                    <a:stretch>
                      <a:fillRect/>
                    </a:stretch>
                  </pic:blipFill>
                  <pic:spPr>
                    <a:xfrm>
                      <a:off x="0" y="0"/>
                      <a:ext cx="3852876" cy="2363724"/>
                    </a:xfrm>
                    <a:prstGeom prst="rect">
                      <a:avLst/>
                    </a:prstGeom>
                  </pic:spPr>
                </pic:pic>
              </a:graphicData>
            </a:graphic>
          </wp:anchor>
        </w:drawing>
      </w:r>
    </w:p>
    <w:p>
      <w:pPr>
        <w:pStyle w:val="BodyText"/>
        <w:spacing w:before="4"/>
        <w:rPr>
          <w:sz w:val="26"/>
        </w:rPr>
      </w:pPr>
    </w:p>
    <w:p>
      <w:pPr>
        <w:spacing w:line="362" w:lineRule="auto" w:before="1"/>
        <w:ind w:left="1996" w:right="422" w:hanging="1388"/>
        <w:jc w:val="left"/>
        <w:rPr>
          <w:b/>
          <w:sz w:val="16"/>
        </w:rPr>
      </w:pPr>
      <w:r>
        <w:rPr>
          <w:b/>
          <w:sz w:val="16"/>
        </w:rPr>
        <w:t>Figure 5.5 Absorption spectrum of a peptide. The absorption band ~280 nm is due to aromatic residues. Absorption band in the far UV region arises due to peptide bond electronic transitions.</w:t>
      </w:r>
    </w:p>
    <w:p>
      <w:pPr>
        <w:pStyle w:val="BodyText"/>
        <w:rPr>
          <w:b/>
          <w:sz w:val="18"/>
        </w:rPr>
      </w:pPr>
    </w:p>
    <w:p>
      <w:pPr>
        <w:pStyle w:val="BodyText"/>
        <w:rPr>
          <w:b/>
          <w:sz w:val="18"/>
        </w:rPr>
      </w:pPr>
    </w:p>
    <w:p>
      <w:pPr>
        <w:pStyle w:val="BodyText"/>
        <w:rPr>
          <w:b/>
          <w:sz w:val="18"/>
        </w:rPr>
      </w:pPr>
    </w:p>
    <w:p>
      <w:pPr>
        <w:pStyle w:val="BodyText"/>
        <w:spacing w:before="2"/>
        <w:rPr>
          <w:b/>
          <w:sz w:val="16"/>
        </w:rPr>
      </w:pPr>
    </w:p>
    <w:p>
      <w:pPr>
        <w:pStyle w:val="BodyText"/>
        <w:spacing w:line="360" w:lineRule="auto"/>
        <w:ind w:left="300" w:right="316"/>
        <w:jc w:val="both"/>
      </w:pPr>
      <w:r>
        <w:rPr>
          <w:i/>
        </w:rPr>
        <w:t>Nucleic acids: </w:t>
      </w:r>
      <w:r>
        <w:rPr/>
        <w:t>Nucleic acids absorb very strongly in the far and near UV region of the electromagnetic spectrum. The absorption is largely due to the nitrogenous bases. The transitions in the nucleic acid bases are quite complex and many </w:t>
      </w:r>
      <w:r>
        <w:rPr>
          <w:i/>
        </w:rPr>
        <w:t>π → π* </w:t>
      </w:r>
      <w:r>
        <w:rPr/>
        <w:t>and </w:t>
      </w:r>
      <w:r>
        <w:rPr>
          <w:i/>
        </w:rPr>
        <w:t>n → π* </w:t>
      </w:r>
      <w:r>
        <w:rPr/>
        <w:t>transitions are expected to contribute to their absorption spectra. A 260 nm wavelength radiation is routinely used to estimate the concentration of nucleic acids. Though the molar absorption coefficients vary for the nucleotides at 260 nm, the average </w:t>
      </w:r>
      <w:r>
        <w:rPr>
          <w:i/>
        </w:rPr>
        <w:t>ε</w:t>
      </w:r>
      <w:r>
        <w:rPr>
          <w:i/>
          <w:vertAlign w:val="subscript"/>
        </w:rPr>
        <w:t>max</w:t>
      </w:r>
      <w:r>
        <w:rPr>
          <w:i/>
          <w:vertAlign w:val="baseline"/>
        </w:rPr>
        <w:t> </w:t>
      </w:r>
      <w:r>
        <w:rPr>
          <w:vertAlign w:val="baseline"/>
        </w:rPr>
        <w:t>can be taken as ~10</w:t>
      </w:r>
      <w:r>
        <w:rPr>
          <w:vertAlign w:val="superscript"/>
        </w:rPr>
        <w:t>4</w:t>
      </w:r>
      <w:r>
        <w:rPr>
          <w:vertAlign w:val="baseline"/>
        </w:rPr>
        <w:t> M</w:t>
      </w:r>
      <w:r>
        <w:rPr>
          <w:vertAlign w:val="superscript"/>
        </w:rPr>
        <w:t>-1</w:t>
      </w:r>
      <w:r>
        <w:rPr>
          <w:vertAlign w:val="baseline"/>
        </w:rPr>
        <w:t>cm</w:t>
      </w:r>
      <w:r>
        <w:rPr>
          <w:vertAlign w:val="superscript"/>
        </w:rPr>
        <w:t>-1</w:t>
      </w:r>
      <w:r>
        <w:rPr>
          <w:vertAlign w:val="baseline"/>
        </w:rPr>
        <w:t>. </w:t>
      </w:r>
      <w:r>
        <w:rPr>
          <w:spacing w:val="-3"/>
          <w:vertAlign w:val="baseline"/>
        </w:rPr>
        <w:t>It </w:t>
      </w:r>
      <w:r>
        <w:rPr>
          <w:vertAlign w:val="baseline"/>
        </w:rPr>
        <w:t>is important to mention that nucleotides show hyperchromicity when exposed to aqueous environment. The absorbance of the free nucleotides is higher than that of single stranded nucleic acid which is higher than that of the double stranded nucleic acid (assuming equal amount of the nucleotides present in all</w:t>
      </w:r>
      <w:r>
        <w:rPr>
          <w:spacing w:val="-1"/>
          <w:vertAlign w:val="baseline"/>
        </w:rPr>
        <w:t> </w:t>
      </w:r>
      <w:r>
        <w:rPr>
          <w:vertAlign w:val="baseline"/>
        </w:rPr>
        <w:t>three).</w:t>
      </w:r>
    </w:p>
    <w:p>
      <w:pPr>
        <w:pStyle w:val="BodyText"/>
        <w:spacing w:line="360" w:lineRule="auto" w:before="201"/>
        <w:ind w:left="300" w:right="318"/>
        <w:jc w:val="both"/>
      </w:pPr>
      <w:r>
        <w:rPr>
          <w:i/>
        </w:rPr>
        <w:t>Other chromophores: </w:t>
      </w:r>
      <w:r>
        <w:rPr/>
        <w:t>Nucleotides like NADH, NADPH, FMN, and FAD; porphyrins such as heme, chlorophylls and other plant pigments; retinal (light sensing molecule); vitamins; and a variety of unsaturated compounds constitute chromophores in the UV and visible region.</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6"/>
        <w:jc w:val="both"/>
      </w:pPr>
      <w:r>
        <w:rPr/>
        <w:t>Having studied the principles of the UV/visible absorption spectroscopy and various factors that influence the electronic transitions, we can now have a look at its applications, especially the applications for analyzing the biological samples.</w:t>
      </w:r>
    </w:p>
    <w:p>
      <w:pPr>
        <w:pStyle w:val="Heading4"/>
        <w:spacing w:before="206"/>
        <w:jc w:val="left"/>
      </w:pPr>
      <w:r>
        <w:rPr/>
        <w:t>Applications:</w:t>
      </w:r>
    </w:p>
    <w:p>
      <w:pPr>
        <w:pStyle w:val="BodyText"/>
        <w:rPr>
          <w:b/>
          <w:sz w:val="29"/>
        </w:rPr>
      </w:pPr>
    </w:p>
    <w:p>
      <w:pPr>
        <w:pStyle w:val="ListParagraph"/>
        <w:numPr>
          <w:ilvl w:val="0"/>
          <w:numId w:val="7"/>
        </w:numPr>
        <w:tabs>
          <w:tab w:pos="1020" w:val="left" w:leader="none"/>
        </w:tabs>
        <w:spacing w:line="360" w:lineRule="auto" w:before="0" w:after="0"/>
        <w:ind w:left="1020" w:right="316" w:hanging="488"/>
        <w:jc w:val="both"/>
        <w:rPr>
          <w:sz w:val="24"/>
        </w:rPr>
      </w:pPr>
      <w:r>
        <w:rPr>
          <w:i/>
          <w:sz w:val="24"/>
        </w:rPr>
        <w:t>Determination of molar absorption coefficient</w:t>
      </w:r>
      <w:r>
        <w:rPr>
          <w:sz w:val="24"/>
        </w:rPr>
        <w:t>: From Beer-Lambert law, </w:t>
      </w:r>
      <w:r>
        <w:rPr>
          <w:i/>
          <w:sz w:val="24"/>
        </w:rPr>
        <w:t>A = </w:t>
      </w:r>
      <w:r>
        <w:rPr>
          <w:i/>
          <w:sz w:val="24"/>
        </w:rPr>
        <w:t>εcl</w:t>
      </w:r>
      <w:r>
        <w:rPr>
          <w:sz w:val="24"/>
        </w:rPr>
        <w:t>. It is therefore straightforward to calculate the molar absorption coefficient of a compound if the concentration of compound is accurately</w:t>
      </w:r>
      <w:r>
        <w:rPr>
          <w:spacing w:val="-10"/>
          <w:sz w:val="24"/>
        </w:rPr>
        <w:t> </w:t>
      </w:r>
      <w:r>
        <w:rPr>
          <w:sz w:val="24"/>
        </w:rPr>
        <w:t>determined.</w:t>
      </w:r>
    </w:p>
    <w:p>
      <w:pPr>
        <w:pStyle w:val="ListParagraph"/>
        <w:numPr>
          <w:ilvl w:val="0"/>
          <w:numId w:val="7"/>
        </w:numPr>
        <w:tabs>
          <w:tab w:pos="1020" w:val="left" w:leader="none"/>
        </w:tabs>
        <w:spacing w:line="360" w:lineRule="auto" w:before="0" w:after="0"/>
        <w:ind w:left="1019" w:right="314" w:hanging="555"/>
        <w:jc w:val="both"/>
        <w:rPr>
          <w:sz w:val="24"/>
        </w:rPr>
      </w:pPr>
      <w:r>
        <w:rPr>
          <w:i/>
          <w:sz w:val="24"/>
        </w:rPr>
        <w:t>Quantification of compounds</w:t>
      </w:r>
      <w:r>
        <w:rPr>
          <w:sz w:val="24"/>
        </w:rPr>
        <w:t>: This is perhaps the most common application of a UV/visible spectrophotometer in a bioanalytical laboratory. If the molar absorption coefficient at a wavelength is known for the compound, the concentration can easily be estimated using Beer-Lambert law. The compounds can still be quantified if their molar absorption coefficients are not known. Estimation of total protein concentration in a given solution is an important example of this. As the given solution is a mixture of many different proteins, the </w:t>
      </w:r>
      <w:r>
        <w:rPr>
          <w:i/>
          <w:sz w:val="24"/>
        </w:rPr>
        <w:t>ε </w:t>
      </w:r>
      <w:r>
        <w:rPr>
          <w:sz w:val="24"/>
        </w:rPr>
        <w:t>is not available. There are, however, dyes that specifically bind to the proteins producing colored complex. The color produced will be proportional to the amount of the protein present in the solution. Performing the experiment under identical conditions using known concentrations of a protein gives a standard graph between absorbance of the dye and the amount of protein. This standard graph is then used to estimate the concentration of the given protein</w:t>
      </w:r>
      <w:r>
        <w:rPr>
          <w:spacing w:val="-2"/>
          <w:sz w:val="24"/>
        </w:rPr>
        <w:t> </w:t>
      </w:r>
      <w:r>
        <w:rPr>
          <w:sz w:val="24"/>
        </w:rPr>
        <w:t>sample.</w:t>
      </w:r>
    </w:p>
    <w:p>
      <w:pPr>
        <w:pStyle w:val="ListParagraph"/>
        <w:numPr>
          <w:ilvl w:val="0"/>
          <w:numId w:val="7"/>
        </w:numPr>
        <w:tabs>
          <w:tab w:pos="1020" w:val="left" w:leader="none"/>
        </w:tabs>
        <w:spacing w:line="360" w:lineRule="auto" w:before="0" w:after="0"/>
        <w:ind w:left="1019" w:right="315" w:hanging="620"/>
        <w:jc w:val="both"/>
        <w:rPr>
          <w:sz w:val="24"/>
        </w:rPr>
      </w:pPr>
      <w:r>
        <w:rPr/>
        <w:pict>
          <v:group style="position:absolute;margin-left:271.325012pt;margin-top:86.078133pt;width:234pt;height:135.15pt;mso-position-horizontal-relative:page;mso-position-vertical-relative:paragraph;z-index:-18509824" coordorigin="5427,1722" coordsize="4680,2703">
            <v:rect style="position:absolute;left:5434;top:1729;width:4665;height:2688" filled="true" fillcolor="#ffff00" stroked="false">
              <v:fill type="solid"/>
            </v:rect>
            <v:rect style="position:absolute;left:5434;top:1729;width:4665;height:2688" filled="false" stroked="true" strokeweight=".75pt" strokecolor="#000000">
              <v:stroke dashstyle="solid"/>
            </v:rect>
            <v:shape style="position:absolute;left:5587;top:2046;width:4385;height:1403" type="#_x0000_t202" filled="false" stroked="false">
              <v:textbox inset="0,0,0,0">
                <w:txbxContent>
                  <w:p>
                    <w:pPr>
                      <w:spacing w:before="32"/>
                      <w:ind w:left="52" w:right="0" w:firstLine="0"/>
                      <w:jc w:val="left"/>
                      <w:rPr>
                        <w:rFonts w:ascii="Symbola" w:eastAsia="Symbola"/>
                        <w:sz w:val="14"/>
                      </w:rPr>
                    </w:pPr>
                    <w:r>
                      <w:rPr>
                        <w:rFonts w:ascii="Symbola" w:eastAsia="Symbola"/>
                        <w:w w:val="120"/>
                        <w:position w:val="3"/>
                        <w:sz w:val="17"/>
                      </w:rPr>
                      <w:t>𝐴</w:t>
                    </w:r>
                    <w:r>
                      <w:rPr>
                        <w:rFonts w:ascii="Symbola" w:eastAsia="Symbola"/>
                        <w:w w:val="120"/>
                        <w:sz w:val="14"/>
                      </w:rPr>
                      <w:t>280</w:t>
                    </w:r>
                  </w:p>
                  <w:p>
                    <w:pPr>
                      <w:spacing w:line="276" w:lineRule="auto" w:before="14"/>
                      <w:ind w:left="0" w:right="18" w:firstLine="0"/>
                      <w:jc w:val="both"/>
                      <w:rPr>
                        <w:sz w:val="24"/>
                      </w:rPr>
                    </w:pPr>
                    <w:r>
                      <w:rPr>
                        <w:sz w:val="24"/>
                      </w:rPr>
                      <w:t>contaminations in DNA preparations. This is because of the large difference in molar absorption  coefficients  of  these </w:t>
                    </w:r>
                    <w:r>
                      <w:rPr>
                        <w:spacing w:val="12"/>
                        <w:sz w:val="24"/>
                      </w:rPr>
                      <w:t> </w:t>
                    </w:r>
                    <w:r>
                      <w:rPr>
                        <w:sz w:val="24"/>
                      </w:rPr>
                      <w:t>molecules.</w:t>
                    </w:r>
                  </w:p>
                  <w:p>
                    <w:pPr>
                      <w:spacing w:before="16"/>
                      <w:ind w:left="0" w:right="25" w:firstLine="0"/>
                      <w:jc w:val="right"/>
                      <w:rPr>
                        <w:rFonts w:ascii="Symbola" w:eastAsia="Symbola"/>
                        <w:sz w:val="14"/>
                      </w:rPr>
                    </w:pPr>
                    <w:r>
                      <w:rPr>
                        <w:rFonts w:ascii="Symbola" w:eastAsia="Symbola"/>
                        <w:w w:val="115"/>
                        <w:position w:val="3"/>
                        <w:sz w:val="17"/>
                        <w:u w:val="single"/>
                      </w:rPr>
                      <w:t>𝐴</w:t>
                    </w:r>
                    <w:r>
                      <w:rPr>
                        <w:rFonts w:ascii="Symbola" w:eastAsia="Symbola"/>
                        <w:w w:val="115"/>
                        <w:sz w:val="14"/>
                        <w:u w:val="single"/>
                      </w:rPr>
                      <w:t>260</w:t>
                    </w:r>
                  </w:p>
                </w:txbxContent>
              </v:textbox>
              <w10:wrap type="none"/>
            </v:shape>
            <v:shape style="position:absolute;left:5640;top:1785;width:4329;height:356" type="#_x0000_t202" filled="false" stroked="false">
              <v:textbox inset="0,0,0,0">
                <w:txbxContent>
                  <w:p>
                    <w:pPr>
                      <w:spacing w:before="30"/>
                      <w:ind w:left="0" w:right="0" w:firstLine="0"/>
                      <w:jc w:val="left"/>
                      <w:rPr>
                        <w:sz w:val="24"/>
                      </w:rPr>
                    </w:pPr>
                    <w:r>
                      <w:rPr>
                        <w:rFonts w:ascii="Symbola" w:eastAsia="Symbola"/>
                        <w:position w:val="14"/>
                        <w:sz w:val="17"/>
                        <w:u w:val="single"/>
                      </w:rPr>
                      <w:t>𝐴</w:t>
                    </w:r>
                    <w:r>
                      <w:rPr>
                        <w:rFonts w:ascii="Symbola" w:eastAsia="Symbola"/>
                        <w:position w:val="11"/>
                        <w:sz w:val="14"/>
                        <w:u w:val="single"/>
                      </w:rPr>
                      <w:t>260</w:t>
                    </w:r>
                    <w:r>
                      <w:rPr>
                        <w:rFonts w:ascii="Symbola" w:eastAsia="Symbola"/>
                        <w:position w:val="11"/>
                        <w:sz w:val="14"/>
                      </w:rPr>
                      <w:t> </w:t>
                    </w:r>
                    <w:r>
                      <w:rPr>
                        <w:sz w:val="24"/>
                      </w:rPr>
                      <w:t>ratio is not useful in detecting protein</w:t>
                    </w:r>
                  </w:p>
                </w:txbxContent>
              </v:textbox>
              <w10:wrap type="none"/>
            </v:shape>
            <v:shape style="position:absolute;left:5587;top:3312;width:3840;height:266" type="#_x0000_t202" filled="false" stroked="false">
              <v:textbox inset="0,0,0,0">
                <w:txbxContent>
                  <w:p>
                    <w:pPr>
                      <w:spacing w:line="266" w:lineRule="exact" w:before="0"/>
                      <w:ind w:left="0" w:right="0" w:firstLine="0"/>
                      <w:jc w:val="left"/>
                      <w:rPr>
                        <w:sz w:val="24"/>
                      </w:rPr>
                    </w:pPr>
                    <w:r>
                      <w:rPr>
                        <w:sz w:val="24"/>
                      </w:rPr>
                      <w:t>To cause an appreciable change in the</w:t>
                    </w:r>
                  </w:p>
                </w:txbxContent>
              </v:textbox>
              <w10:wrap type="none"/>
            </v:shape>
            <v:shape style="position:absolute;left:9580;top:3484;width:384;height:227" type="#_x0000_t202" filled="false" stroked="false">
              <v:textbox inset="0,0,0,0">
                <w:txbxContent>
                  <w:p>
                    <w:pPr>
                      <w:spacing w:before="32"/>
                      <w:ind w:left="0" w:right="0" w:firstLine="0"/>
                      <w:jc w:val="left"/>
                      <w:rPr>
                        <w:rFonts w:ascii="Symbola" w:eastAsia="Symbola"/>
                        <w:sz w:val="14"/>
                      </w:rPr>
                    </w:pPr>
                    <w:r>
                      <w:rPr>
                        <w:rFonts w:ascii="Symbola" w:eastAsia="Symbola"/>
                        <w:w w:val="120"/>
                        <w:position w:val="3"/>
                        <w:sz w:val="17"/>
                      </w:rPr>
                      <w:t>𝐴</w:t>
                    </w:r>
                    <w:r>
                      <w:rPr>
                        <w:rFonts w:ascii="Symbola" w:eastAsia="Symbola"/>
                        <w:w w:val="120"/>
                        <w:sz w:val="14"/>
                      </w:rPr>
                      <w:t>280</w:t>
                    </w:r>
                  </w:p>
                </w:txbxContent>
              </v:textbox>
              <w10:wrap type="none"/>
            </v:shape>
            <v:shape style="position:absolute;left:5587;top:3735;width:4381;height:583" type="#_x0000_t202" filled="false" stroked="false">
              <v:textbox inset="0,0,0,0">
                <w:txbxContent>
                  <w:p>
                    <w:pPr>
                      <w:spacing w:line="266" w:lineRule="exact" w:before="0"/>
                      <w:ind w:left="0" w:right="0" w:firstLine="0"/>
                      <w:jc w:val="left"/>
                      <w:rPr>
                        <w:sz w:val="24"/>
                      </w:rPr>
                    </w:pPr>
                    <w:r>
                      <w:rPr>
                        <w:sz w:val="24"/>
                      </w:rPr>
                      <w:t>ratio, there should a large amount of protein</w:t>
                    </w:r>
                  </w:p>
                  <w:p>
                    <w:pPr>
                      <w:spacing w:before="41"/>
                      <w:ind w:left="0" w:right="0" w:firstLine="0"/>
                      <w:jc w:val="left"/>
                      <w:rPr>
                        <w:sz w:val="24"/>
                      </w:rPr>
                    </w:pPr>
                    <w:r>
                      <w:rPr>
                        <w:sz w:val="24"/>
                      </w:rPr>
                      <w:t>present.</w:t>
                    </w:r>
                  </w:p>
                </w:txbxContent>
              </v:textbox>
              <w10:wrap type="none"/>
            </v:shape>
            <w10:wrap type="none"/>
          </v:group>
        </w:pict>
      </w:r>
      <w:r>
        <w:rPr>
          <w:i/>
          <w:sz w:val="24"/>
        </w:rPr>
        <w:t>Quality control</w:t>
      </w:r>
      <w:r>
        <w:rPr>
          <w:sz w:val="24"/>
        </w:rPr>
        <w:t>: A given organic compound such as a drug can be studied for its purity. Comparison of spectrum with the standard drug will detect the impurities, if any. UV/Visible absorption is often used to detect the nucleic acid contamination in the protein preparations. Aromatic amino acids as well as the nucleotides</w:t>
      </w:r>
      <w:r>
        <w:rPr>
          <w:spacing w:val="16"/>
          <w:sz w:val="24"/>
        </w:rPr>
        <w:t> </w:t>
      </w:r>
      <w:r>
        <w:rPr>
          <w:sz w:val="24"/>
        </w:rPr>
        <w:t>show</w:t>
      </w:r>
    </w:p>
    <w:p>
      <w:pPr>
        <w:pStyle w:val="BodyText"/>
        <w:spacing w:line="275" w:lineRule="exact"/>
        <w:ind w:left="1019"/>
        <w:jc w:val="both"/>
      </w:pPr>
      <w:r>
        <w:rPr/>
        <w:t>absorption band in the </w:t>
      </w:r>
      <w:r>
        <w:rPr>
          <w:spacing w:val="34"/>
        </w:rPr>
        <w:t> </w:t>
      </w:r>
      <w:r>
        <w:rPr/>
        <w:t>near</w:t>
      </w:r>
    </w:p>
    <w:p>
      <w:pPr>
        <w:pStyle w:val="BodyText"/>
        <w:spacing w:line="360" w:lineRule="auto" w:before="138"/>
        <w:ind w:left="1019" w:right="5189"/>
        <w:jc w:val="both"/>
      </w:pPr>
      <w:r>
        <w:rPr/>
        <w:t>UV region and there is </w:t>
      </w:r>
      <w:r>
        <w:rPr>
          <w:spacing w:val="-12"/>
        </w:rPr>
        <w:t>a </w:t>
      </w:r>
      <w:r>
        <w:rPr/>
        <w:t>considerable overlap in </w:t>
      </w:r>
      <w:r>
        <w:rPr>
          <w:spacing w:val="-4"/>
        </w:rPr>
        <w:t>the </w:t>
      </w:r>
      <w:r>
        <w:rPr/>
        <w:t>absorption       spectra     </w:t>
      </w:r>
      <w:r>
        <w:rPr>
          <w:spacing w:val="39"/>
        </w:rPr>
        <w:t> </w:t>
      </w:r>
      <w:r>
        <w:rPr>
          <w:spacing w:val="-7"/>
        </w:rPr>
        <w:t>of</w:t>
      </w:r>
    </w:p>
    <w:p>
      <w:pPr>
        <w:pStyle w:val="BodyText"/>
        <w:spacing w:line="360" w:lineRule="auto"/>
        <w:ind w:left="1019" w:right="5189"/>
        <w:jc w:val="both"/>
      </w:pPr>
      <w:r>
        <w:rPr/>
        <w:t>aromatic amino acids </w:t>
      </w:r>
      <w:r>
        <w:rPr>
          <w:spacing w:val="-5"/>
        </w:rPr>
        <w:t>and </w:t>
      </w:r>
      <w:r>
        <w:rPr/>
        <w:t>the  nucleotides.  A </w:t>
      </w:r>
      <w:r>
        <w:rPr>
          <w:spacing w:val="26"/>
        </w:rPr>
        <w:t> </w:t>
      </w:r>
      <w:r>
        <w:rPr/>
        <w:t>nucleic</w:t>
      </w:r>
    </w:p>
    <w:p>
      <w:pPr>
        <w:pStyle w:val="BodyText"/>
        <w:ind w:left="1019"/>
        <w:jc w:val="both"/>
      </w:pPr>
      <w:r>
        <w:rPr/>
        <w:t>acid contamination in a protein, however, can be determined by measuring</w:t>
      </w:r>
    </w:p>
    <w:p>
      <w:pPr>
        <w:spacing w:after="0"/>
        <w:jc w:val="both"/>
        <w:sectPr>
          <w:pgSz w:w="11910" w:h="16840"/>
          <w:pgMar w:header="722" w:footer="748" w:top="1300" w:bottom="940" w:left="1500" w:right="1480"/>
        </w:sectPr>
      </w:pPr>
    </w:p>
    <w:p>
      <w:pPr>
        <w:pStyle w:val="BodyText"/>
        <w:spacing w:line="360" w:lineRule="auto" w:before="119"/>
        <w:ind w:left="1020" w:right="315"/>
        <w:jc w:val="both"/>
      </w:pPr>
      <w:r>
        <w:rPr/>
        <w:t>absorbances at 260 and 280 nm. A typical nucleic acid containing all four bases shows an absorption band centered ~260 nm while a protein having aromatic amino acids shows absorption band centered ~280 nm. </w:t>
      </w:r>
      <w:r>
        <w:rPr>
          <w:spacing w:val="-3"/>
        </w:rPr>
        <w:t>It </w:t>
      </w:r>
      <w:r>
        <w:rPr/>
        <w:t>is possible to determine the purity of protein preparations by recording absorbances at both</w:t>
      </w:r>
      <w:r>
        <w:rPr>
          <w:spacing w:val="15"/>
        </w:rPr>
        <w:t> </w:t>
      </w:r>
      <w:r>
        <w:rPr/>
        <w:t>260</w:t>
      </w:r>
      <w:r>
        <w:rPr>
          <w:spacing w:val="16"/>
        </w:rPr>
        <w:t> </w:t>
      </w:r>
      <w:r>
        <w:rPr/>
        <w:t>and</w:t>
      </w:r>
      <w:r>
        <w:rPr>
          <w:spacing w:val="15"/>
        </w:rPr>
        <w:t> </w:t>
      </w:r>
      <w:r>
        <w:rPr/>
        <w:t>280</w:t>
      </w:r>
      <w:r>
        <w:rPr>
          <w:spacing w:val="16"/>
        </w:rPr>
        <w:t> </w:t>
      </w:r>
      <w:r>
        <w:rPr/>
        <w:t>nm.</w:t>
      </w:r>
      <w:r>
        <w:rPr>
          <w:spacing w:val="15"/>
        </w:rPr>
        <w:t> </w:t>
      </w:r>
      <w:r>
        <w:rPr/>
        <w:t>A</w:t>
      </w:r>
      <w:r>
        <w:rPr>
          <w:spacing w:val="18"/>
        </w:rPr>
        <w:t> </w:t>
      </w:r>
      <w:r>
        <w:rPr/>
        <w:t>ratio</w:t>
      </w:r>
      <w:r>
        <w:rPr>
          <w:spacing w:val="15"/>
        </w:rPr>
        <w:t> </w:t>
      </w:r>
      <w:r>
        <w:rPr/>
        <w:t>of</w:t>
      </w:r>
      <w:r>
        <w:rPr>
          <w:spacing w:val="16"/>
        </w:rPr>
        <w:t> </w:t>
      </w:r>
      <w:r>
        <w:rPr/>
        <w:t>the</w:t>
      </w:r>
      <w:r>
        <w:rPr>
          <w:spacing w:val="17"/>
        </w:rPr>
        <w:t> </w:t>
      </w:r>
      <w:r>
        <w:rPr/>
        <w:t>absorbance</w:t>
      </w:r>
      <w:r>
        <w:rPr>
          <w:spacing w:val="20"/>
        </w:rPr>
        <w:t> </w:t>
      </w:r>
      <w:r>
        <w:rPr/>
        <w:t>at</w:t>
      </w:r>
      <w:r>
        <w:rPr>
          <w:spacing w:val="16"/>
        </w:rPr>
        <w:t> </w:t>
      </w:r>
      <w:r>
        <w:rPr/>
        <w:t>260</w:t>
      </w:r>
      <w:r>
        <w:rPr>
          <w:spacing w:val="16"/>
        </w:rPr>
        <w:t> </w:t>
      </w:r>
      <w:r>
        <w:rPr/>
        <w:t>nm</w:t>
      </w:r>
      <w:r>
        <w:rPr>
          <w:spacing w:val="16"/>
        </w:rPr>
        <w:t> </w:t>
      </w:r>
      <w:r>
        <w:rPr/>
        <w:t>to</w:t>
      </w:r>
      <w:r>
        <w:rPr>
          <w:spacing w:val="16"/>
        </w:rPr>
        <w:t> </w:t>
      </w:r>
      <w:r>
        <w:rPr/>
        <w:t>that</w:t>
      </w:r>
      <w:r>
        <w:rPr>
          <w:spacing w:val="16"/>
        </w:rPr>
        <w:t> </w:t>
      </w:r>
      <w:r>
        <w:rPr/>
        <w:t>at</w:t>
      </w:r>
      <w:r>
        <w:rPr>
          <w:spacing w:val="17"/>
        </w:rPr>
        <w:t> </w:t>
      </w:r>
      <w:r>
        <w:rPr/>
        <w:t>280</w:t>
      </w:r>
      <w:r>
        <w:rPr>
          <w:spacing w:val="19"/>
        </w:rPr>
        <w:t> </w:t>
      </w:r>
      <w:r>
        <w:rPr/>
        <w:t>nm</w:t>
      </w:r>
    </w:p>
    <w:p>
      <w:pPr>
        <w:spacing w:line="294" w:lineRule="exact" w:before="12"/>
        <w:ind w:left="1020" w:right="0" w:firstLine="0"/>
        <w:jc w:val="left"/>
        <w:rPr>
          <w:sz w:val="24"/>
        </w:rPr>
      </w:pPr>
      <w:r>
        <w:rPr>
          <w:i/>
          <w:sz w:val="24"/>
        </w:rPr>
        <w:t>i.e.</w:t>
      </w:r>
      <w:r>
        <w:rPr>
          <w:i/>
          <w:position w:val="14"/>
          <w:sz w:val="24"/>
        </w:rPr>
        <w:t> </w:t>
      </w:r>
      <w:r>
        <w:rPr>
          <w:rFonts w:ascii="Symbola" w:eastAsia="Symbola"/>
          <w:position w:val="14"/>
          <w:sz w:val="17"/>
          <w:u w:val="single"/>
        </w:rPr>
        <w:t>𝐴</w:t>
      </w:r>
      <w:r>
        <w:rPr>
          <w:rFonts w:ascii="Symbola" w:eastAsia="Symbola"/>
          <w:position w:val="11"/>
          <w:sz w:val="14"/>
          <w:u w:val="single"/>
        </w:rPr>
        <w:t>260</w:t>
      </w:r>
      <w:r>
        <w:rPr>
          <w:rFonts w:ascii="Symbola" w:eastAsia="Symbola"/>
          <w:position w:val="11"/>
          <w:sz w:val="14"/>
        </w:rPr>
        <w:t> </w:t>
      </w:r>
      <w:r>
        <w:rPr>
          <w:sz w:val="24"/>
        </w:rPr>
        <w:t>is a measure of the purity.</w:t>
      </w:r>
    </w:p>
    <w:p>
      <w:pPr>
        <w:spacing w:line="163" w:lineRule="exact" w:before="0"/>
        <w:ind w:left="1372" w:right="0" w:firstLine="0"/>
        <w:jc w:val="left"/>
        <w:rPr>
          <w:rFonts w:ascii="Symbola" w:eastAsia="Symbola"/>
          <w:sz w:val="14"/>
        </w:rPr>
      </w:pPr>
      <w:r>
        <w:rPr>
          <w:rFonts w:ascii="Symbola" w:eastAsia="Symbola"/>
          <w:w w:val="120"/>
          <w:position w:val="3"/>
          <w:sz w:val="17"/>
        </w:rPr>
        <w:t>𝐴</w:t>
      </w:r>
      <w:r>
        <w:rPr>
          <w:rFonts w:ascii="Symbola" w:eastAsia="Symbola"/>
          <w:w w:val="120"/>
          <w:sz w:val="14"/>
        </w:rPr>
        <w:t>280</w:t>
      </w:r>
    </w:p>
    <w:p>
      <w:pPr>
        <w:pStyle w:val="ListParagraph"/>
        <w:numPr>
          <w:ilvl w:val="0"/>
          <w:numId w:val="7"/>
        </w:numPr>
        <w:tabs>
          <w:tab w:pos="1020" w:val="left" w:leader="none"/>
        </w:tabs>
        <w:spacing w:line="360" w:lineRule="auto" w:before="113" w:after="0"/>
        <w:ind w:left="1020" w:right="317" w:hanging="608"/>
        <w:jc w:val="both"/>
        <w:rPr>
          <w:sz w:val="24"/>
        </w:rPr>
      </w:pPr>
      <w:r>
        <w:rPr>
          <w:i/>
          <w:sz w:val="24"/>
        </w:rPr>
        <w:t>Chemical kinetics</w:t>
      </w:r>
      <w:r>
        <w:rPr>
          <w:sz w:val="24"/>
        </w:rPr>
        <w:t>: UV/visible spectroscopy can be used to monitor the rate of chemical reactions if one of the reactants or products absorbs in a region where no other reactant or product absorbs</w:t>
      </w:r>
      <w:r>
        <w:rPr>
          <w:spacing w:val="-5"/>
          <w:sz w:val="24"/>
        </w:rPr>
        <w:t> </w:t>
      </w:r>
      <w:r>
        <w:rPr>
          <w:sz w:val="24"/>
        </w:rPr>
        <w:t>significantly.</w:t>
      </w:r>
    </w:p>
    <w:p>
      <w:pPr>
        <w:pStyle w:val="ListParagraph"/>
        <w:numPr>
          <w:ilvl w:val="0"/>
          <w:numId w:val="7"/>
        </w:numPr>
        <w:tabs>
          <w:tab w:pos="1020" w:val="left" w:leader="none"/>
        </w:tabs>
        <w:spacing w:line="360" w:lineRule="auto" w:before="2" w:after="0"/>
        <w:ind w:left="1020" w:right="317" w:hanging="540"/>
        <w:jc w:val="both"/>
        <w:rPr>
          <w:sz w:val="24"/>
        </w:rPr>
      </w:pPr>
      <w:r>
        <w:rPr>
          <w:i/>
          <w:sz w:val="24"/>
        </w:rPr>
        <w:t>Detectors in liquid chromatography instruments</w:t>
      </w:r>
      <w:r>
        <w:rPr>
          <w:sz w:val="24"/>
        </w:rPr>
        <w:t>: UV/visible detectors are perhaps the most common detectors present in liquid chromatography systems. Modern instruments use photodiode array detectors that can detect the molecules absorbing in different spectral regions (Figure</w:t>
      </w:r>
      <w:r>
        <w:rPr>
          <w:spacing w:val="-6"/>
          <w:sz w:val="24"/>
        </w:rPr>
        <w:t> </w:t>
      </w:r>
      <w:r>
        <w:rPr>
          <w:sz w:val="24"/>
        </w:rPr>
        <w:t>5.6).</w:t>
      </w:r>
    </w:p>
    <w:p>
      <w:pPr>
        <w:pStyle w:val="BodyText"/>
        <w:rPr>
          <w:sz w:val="20"/>
        </w:rPr>
      </w:pPr>
    </w:p>
    <w:p>
      <w:pPr>
        <w:pStyle w:val="BodyText"/>
        <w:rPr>
          <w:sz w:val="20"/>
        </w:rPr>
      </w:pPr>
    </w:p>
    <w:p>
      <w:pPr>
        <w:pStyle w:val="BodyText"/>
        <w:rPr>
          <w:sz w:val="14"/>
        </w:rPr>
      </w:pPr>
      <w:r>
        <w:rPr/>
        <w:drawing>
          <wp:anchor distT="0" distB="0" distL="0" distR="0" allowOverlap="1" layoutInCell="1" locked="0" behindDoc="0" simplePos="0" relativeHeight="58">
            <wp:simplePos x="0" y="0"/>
            <wp:positionH relativeFrom="page">
              <wp:posOffset>1308987</wp:posOffset>
            </wp:positionH>
            <wp:positionV relativeFrom="paragraph">
              <wp:posOffset>127031</wp:posOffset>
            </wp:positionV>
            <wp:extent cx="5070725" cy="2773680"/>
            <wp:effectExtent l="0" t="0" r="0" b="0"/>
            <wp:wrapTopAndBottom/>
            <wp:docPr id="59" name="image32.jpeg" descr="Figure 5.7.tif"/>
            <wp:cNvGraphicFramePr>
              <a:graphicFrameLocks noChangeAspect="1"/>
            </wp:cNvGraphicFramePr>
            <a:graphic>
              <a:graphicData uri="http://schemas.openxmlformats.org/drawingml/2006/picture">
                <pic:pic>
                  <pic:nvPicPr>
                    <pic:cNvPr id="60" name="image32.jpeg"/>
                    <pic:cNvPicPr/>
                  </pic:nvPicPr>
                  <pic:blipFill>
                    <a:blip r:embed="rId40" cstate="print"/>
                    <a:stretch>
                      <a:fillRect/>
                    </a:stretch>
                  </pic:blipFill>
                  <pic:spPr>
                    <a:xfrm>
                      <a:off x="0" y="0"/>
                      <a:ext cx="5070725" cy="2773680"/>
                    </a:xfrm>
                    <a:prstGeom prst="rect">
                      <a:avLst/>
                    </a:prstGeom>
                  </pic:spPr>
                </pic:pic>
              </a:graphicData>
            </a:graphic>
          </wp:anchor>
        </w:drawing>
      </w:r>
    </w:p>
    <w:p>
      <w:pPr>
        <w:pStyle w:val="BodyText"/>
        <w:spacing w:before="9"/>
        <w:rPr>
          <w:sz w:val="28"/>
        </w:rPr>
      </w:pPr>
    </w:p>
    <w:p>
      <w:pPr>
        <w:spacing w:before="0"/>
        <w:ind w:left="794" w:right="617" w:firstLine="0"/>
        <w:jc w:val="center"/>
        <w:rPr>
          <w:b/>
          <w:sz w:val="16"/>
        </w:rPr>
      </w:pPr>
      <w:r>
        <w:rPr>
          <w:b/>
          <w:sz w:val="16"/>
        </w:rPr>
        <w:t>Figure 5.6 Diagram of a photodiode array detector</w:t>
      </w:r>
    </w:p>
    <w:p>
      <w:pPr>
        <w:spacing w:after="0"/>
        <w:jc w:val="center"/>
        <w:rPr>
          <w:sz w:val="16"/>
        </w:rPr>
        <w:sectPr>
          <w:pgSz w:w="11910" w:h="16840"/>
          <w:pgMar w:header="722" w:footer="748" w:top="1300" w:bottom="940" w:left="1500" w:right="1480"/>
        </w:sectPr>
      </w:pPr>
    </w:p>
    <w:p>
      <w:pPr>
        <w:pStyle w:val="BodyText"/>
        <w:rPr>
          <w:b/>
          <w:sz w:val="20"/>
        </w:rPr>
      </w:pPr>
    </w:p>
    <w:p>
      <w:pPr>
        <w:pStyle w:val="BodyText"/>
        <w:spacing w:before="10"/>
        <w:rPr>
          <w:b/>
          <w:sz w:val="23"/>
        </w:rPr>
      </w:pPr>
    </w:p>
    <w:p>
      <w:pPr>
        <w:pStyle w:val="ListParagraph"/>
        <w:numPr>
          <w:ilvl w:val="0"/>
          <w:numId w:val="7"/>
        </w:numPr>
        <w:tabs>
          <w:tab w:pos="1020" w:val="left" w:leader="none"/>
        </w:tabs>
        <w:spacing w:line="360" w:lineRule="auto" w:before="90" w:after="0"/>
        <w:ind w:left="1020" w:right="316" w:hanging="608"/>
        <w:jc w:val="both"/>
        <w:rPr>
          <w:sz w:val="24"/>
        </w:rPr>
      </w:pPr>
      <w:r>
        <w:rPr>
          <w:i/>
          <w:sz w:val="24"/>
        </w:rPr>
        <w:t>Determination of melting temperature of DNA</w:t>
      </w:r>
      <w:r>
        <w:rPr>
          <w:sz w:val="24"/>
        </w:rPr>
        <w:t>: A double stranded DNA molecule can be denatured into the single strands by heating it. Melting temperature, T</w:t>
      </w:r>
      <w:r>
        <w:rPr>
          <w:sz w:val="24"/>
          <w:vertAlign w:val="subscript"/>
        </w:rPr>
        <w:t>m</w:t>
      </w:r>
      <w:r>
        <w:rPr>
          <w:sz w:val="24"/>
          <w:vertAlign w:val="baseline"/>
        </w:rPr>
        <w:t> is the temperature at which 50% of the DNA gets denatured into single strands. Denaturation of DNA is accompanied by hyperchromic shift in the absorption spectra in the near UV region. A melting curve (plot between temperature and absorbance at 260 nm) is plotted and T</w:t>
      </w:r>
      <w:r>
        <w:rPr>
          <w:sz w:val="24"/>
          <w:vertAlign w:val="subscript"/>
        </w:rPr>
        <w:t>m</w:t>
      </w:r>
      <w:r>
        <w:rPr>
          <w:sz w:val="24"/>
          <w:vertAlign w:val="baseline"/>
        </w:rPr>
        <w:t> is determined (Figure</w:t>
      </w:r>
      <w:r>
        <w:rPr>
          <w:spacing w:val="-2"/>
          <w:sz w:val="24"/>
          <w:vertAlign w:val="baseline"/>
        </w:rPr>
        <w:t> </w:t>
      </w:r>
      <w:r>
        <w:rPr>
          <w:sz w:val="24"/>
          <w:vertAlign w:val="baseline"/>
        </w:rPr>
        <w:t>5.7).</w:t>
      </w:r>
    </w:p>
    <w:p>
      <w:pPr>
        <w:pStyle w:val="BodyText"/>
        <w:spacing w:before="6"/>
        <w:rPr>
          <w:sz w:val="16"/>
        </w:rPr>
      </w:pPr>
      <w:r>
        <w:rPr/>
        <w:drawing>
          <wp:anchor distT="0" distB="0" distL="0" distR="0" allowOverlap="1" layoutInCell="1" locked="0" behindDoc="0" simplePos="0" relativeHeight="59">
            <wp:simplePos x="0" y="0"/>
            <wp:positionH relativeFrom="page">
              <wp:posOffset>2488481</wp:posOffset>
            </wp:positionH>
            <wp:positionV relativeFrom="paragraph">
              <wp:posOffset>145417</wp:posOffset>
            </wp:positionV>
            <wp:extent cx="2755404" cy="2749296"/>
            <wp:effectExtent l="0" t="0" r="0" b="0"/>
            <wp:wrapTopAndBottom/>
            <wp:docPr id="61" name="image33.png" descr="Figure 5.7.tif"/>
            <wp:cNvGraphicFramePr>
              <a:graphicFrameLocks noChangeAspect="1"/>
            </wp:cNvGraphicFramePr>
            <a:graphic>
              <a:graphicData uri="http://schemas.openxmlformats.org/drawingml/2006/picture">
                <pic:pic>
                  <pic:nvPicPr>
                    <pic:cNvPr id="62" name="image33.png"/>
                    <pic:cNvPicPr/>
                  </pic:nvPicPr>
                  <pic:blipFill>
                    <a:blip r:embed="rId41" cstate="print"/>
                    <a:stretch>
                      <a:fillRect/>
                    </a:stretch>
                  </pic:blipFill>
                  <pic:spPr>
                    <a:xfrm>
                      <a:off x="0" y="0"/>
                      <a:ext cx="2755404" cy="2749296"/>
                    </a:xfrm>
                    <a:prstGeom prst="rect">
                      <a:avLst/>
                    </a:prstGeom>
                  </pic:spPr>
                </pic:pic>
              </a:graphicData>
            </a:graphic>
          </wp:anchor>
        </w:drawing>
      </w:r>
    </w:p>
    <w:p>
      <w:pPr>
        <w:pStyle w:val="BodyText"/>
        <w:spacing w:before="5"/>
        <w:rPr>
          <w:sz w:val="28"/>
        </w:rPr>
      </w:pPr>
    </w:p>
    <w:p>
      <w:pPr>
        <w:spacing w:line="362" w:lineRule="auto" w:before="0"/>
        <w:ind w:left="496" w:right="0" w:firstLine="0"/>
        <w:jc w:val="left"/>
        <w:rPr>
          <w:b/>
          <w:sz w:val="16"/>
        </w:rPr>
      </w:pPr>
      <w:r>
        <w:rPr>
          <w:b/>
          <w:sz w:val="16"/>
        </w:rPr>
        <w:t>Figure 5.7 Thermal denaturation of a DNA sample; a plot of absorbance at 260 nm against the temperature allows </w:t>
      </w:r>
      <w:r>
        <w:rPr>
          <w:b/>
          <w:position w:val="2"/>
          <w:sz w:val="16"/>
        </w:rPr>
        <w:t>determination of the melting temperature (T</w:t>
      </w:r>
      <w:r>
        <w:rPr>
          <w:b/>
          <w:sz w:val="10"/>
        </w:rPr>
        <w:t>m</w:t>
      </w:r>
      <w:r>
        <w:rPr>
          <w:b/>
          <w:position w:val="2"/>
          <w:sz w:val="16"/>
        </w:rPr>
        <w:t>).</w:t>
      </w:r>
    </w:p>
    <w:p>
      <w:pPr>
        <w:pStyle w:val="BodyText"/>
        <w:rPr>
          <w:b/>
          <w:sz w:val="18"/>
        </w:rPr>
      </w:pPr>
    </w:p>
    <w:p>
      <w:pPr>
        <w:pStyle w:val="BodyText"/>
        <w:rPr>
          <w:b/>
          <w:sz w:val="18"/>
        </w:rPr>
      </w:pPr>
    </w:p>
    <w:p>
      <w:pPr>
        <w:pStyle w:val="BodyText"/>
        <w:spacing w:before="8"/>
        <w:rPr>
          <w:b/>
          <w:sz w:val="21"/>
        </w:rPr>
      </w:pPr>
    </w:p>
    <w:p>
      <w:pPr>
        <w:pStyle w:val="ListParagraph"/>
        <w:numPr>
          <w:ilvl w:val="0"/>
          <w:numId w:val="7"/>
        </w:numPr>
        <w:tabs>
          <w:tab w:pos="1020" w:val="left" w:leader="none"/>
        </w:tabs>
        <w:spacing w:line="360" w:lineRule="auto" w:before="0" w:after="0"/>
        <w:ind w:left="1019" w:right="316" w:hanging="675"/>
        <w:jc w:val="both"/>
        <w:rPr>
          <w:sz w:val="24"/>
        </w:rPr>
      </w:pPr>
      <w:r>
        <w:rPr>
          <w:i/>
          <w:sz w:val="24"/>
        </w:rPr>
        <w:t>Microbial growth kinetics</w:t>
      </w:r>
      <w:r>
        <w:rPr>
          <w:sz w:val="24"/>
        </w:rPr>
        <w:t>: A UV/visible spectrophotometer is routinely used to monitor the growth of microorganisms. </w:t>
      </w:r>
      <w:r>
        <w:rPr>
          <w:i/>
          <w:sz w:val="24"/>
        </w:rPr>
        <w:t>The underlying principle behind </w:t>
      </w:r>
      <w:r>
        <w:rPr>
          <w:i/>
          <w:sz w:val="24"/>
        </w:rPr>
        <w:t>this, however, is not absorbance but scattering</w:t>
      </w:r>
      <w:r>
        <w:rPr>
          <w:sz w:val="24"/>
        </w:rPr>
        <w:t>. As the number of microbial cells increase in a culture, they cause more scattering in light. The detector therefore receives less amount of radiation, recording this as absorbance. To distinguish this from actual absorbance, the observed value is referred to as the optical</w:t>
      </w:r>
      <w:r>
        <w:rPr>
          <w:spacing w:val="-1"/>
          <w:sz w:val="24"/>
        </w:rPr>
        <w:t> </w:t>
      </w:r>
      <w:r>
        <w:rPr>
          <w:sz w:val="24"/>
        </w:rPr>
        <w:t>density.</w:t>
      </w:r>
    </w:p>
    <w:p>
      <w:pPr>
        <w:spacing w:after="0" w:line="360" w:lineRule="auto"/>
        <w:jc w:val="both"/>
        <w:rPr>
          <w:sz w:val="24"/>
        </w:rPr>
        <w:sectPr>
          <w:pgSz w:w="11910" w:h="16840"/>
          <w:pgMar w:header="722" w:footer="748" w:top="1300" w:bottom="940" w:left="1500" w:right="1480"/>
        </w:sectPr>
      </w:pPr>
    </w:p>
    <w:p>
      <w:pPr>
        <w:pStyle w:val="Heading4"/>
        <w:spacing w:before="124"/>
        <w:ind w:left="596" w:right="617"/>
        <w:jc w:val="center"/>
      </w:pPr>
      <w:r>
        <w:rPr/>
        <w:t>QUIZ</w:t>
      </w:r>
    </w:p>
    <w:p>
      <w:pPr>
        <w:pStyle w:val="BodyText"/>
        <w:spacing w:before="1"/>
        <w:rPr>
          <w:b/>
          <w:sz w:val="21"/>
        </w:rPr>
      </w:pPr>
    </w:p>
    <w:p>
      <w:pPr>
        <w:spacing w:line="276" w:lineRule="auto" w:before="0"/>
        <w:ind w:left="300" w:right="315" w:firstLine="0"/>
        <w:jc w:val="both"/>
        <w:rPr>
          <w:b/>
          <w:sz w:val="24"/>
        </w:rPr>
      </w:pPr>
      <w:r>
        <w:rPr>
          <w:b/>
          <w:sz w:val="24"/>
        </w:rPr>
        <w:t>Q1: The molar absorption coefficient of tyrosine in water is 1280 M</w:t>
      </w:r>
      <w:r>
        <w:rPr>
          <w:b/>
          <w:sz w:val="24"/>
          <w:vertAlign w:val="superscript"/>
        </w:rPr>
        <w:t>-1</w:t>
      </w:r>
      <w:r>
        <w:rPr>
          <w:b/>
          <w:sz w:val="24"/>
          <w:vertAlign w:val="baseline"/>
        </w:rPr>
        <w:t>cm</w:t>
      </w:r>
      <w:r>
        <w:rPr>
          <w:b/>
          <w:sz w:val="24"/>
          <w:vertAlign w:val="superscript"/>
        </w:rPr>
        <w:t>-1</w:t>
      </w:r>
      <w:r>
        <w:rPr>
          <w:b/>
          <w:sz w:val="24"/>
          <w:vertAlign w:val="baseline"/>
        </w:rPr>
        <w:t> at 280 nm. Calculate the concentration of a tyrosine solution in water if the absorbance of the solution is 0.34 in a 1 cm path length cell.</w:t>
      </w:r>
    </w:p>
    <w:p>
      <w:pPr>
        <w:spacing w:before="193"/>
        <w:ind w:left="300" w:right="0" w:firstLine="0"/>
        <w:jc w:val="both"/>
        <w:rPr>
          <w:sz w:val="24"/>
        </w:rPr>
      </w:pPr>
      <w:r>
        <w:rPr>
          <w:b/>
          <w:sz w:val="24"/>
        </w:rPr>
        <w:t>Ans:</w:t>
      </w:r>
      <w:r>
        <w:rPr>
          <w:b/>
          <w:spacing w:val="58"/>
          <w:sz w:val="24"/>
        </w:rPr>
        <w:t> </w:t>
      </w:r>
      <w:r>
        <w:rPr>
          <w:sz w:val="24"/>
        </w:rPr>
        <w:t>Given:</w:t>
      </w:r>
    </w:p>
    <w:p>
      <w:pPr>
        <w:pStyle w:val="BodyText"/>
      </w:pPr>
    </w:p>
    <w:p>
      <w:pPr>
        <w:pStyle w:val="BodyText"/>
        <w:tabs>
          <w:tab w:pos="3179" w:val="left" w:leader="none"/>
          <w:tab w:pos="6059" w:val="left" w:leader="none"/>
          <w:tab w:pos="7499" w:val="left" w:leader="none"/>
        </w:tabs>
        <w:spacing w:line="480" w:lineRule="auto"/>
        <w:ind w:left="1020" w:right="603"/>
      </w:pPr>
      <w:r>
        <w:rPr>
          <w:i/>
        </w:rPr>
        <w:t>λ </w:t>
      </w:r>
      <w:r>
        <w:rPr/>
        <w:t>=</w:t>
      </w:r>
      <w:r>
        <w:rPr>
          <w:spacing w:val="-2"/>
        </w:rPr>
        <w:t> </w:t>
      </w:r>
      <w:r>
        <w:rPr/>
        <w:t>280 nm</w:t>
        <w:tab/>
      </w:r>
      <w:r>
        <w:rPr>
          <w:i/>
        </w:rPr>
        <w:t>ε</w:t>
      </w:r>
      <w:r>
        <w:rPr>
          <w:vertAlign w:val="subscript"/>
        </w:rPr>
        <w:t>280</w:t>
      </w:r>
      <w:r>
        <w:rPr>
          <w:vertAlign w:val="baseline"/>
        </w:rPr>
        <w:t> </w:t>
      </w:r>
      <w:r>
        <w:rPr>
          <w:vertAlign w:val="subscript"/>
        </w:rPr>
        <w:t>nm</w:t>
      </w:r>
      <w:r>
        <w:rPr>
          <w:vertAlign w:val="baseline"/>
        </w:rPr>
        <w:t> =</w:t>
      </w:r>
      <w:r>
        <w:rPr>
          <w:spacing w:val="-32"/>
          <w:vertAlign w:val="baseline"/>
        </w:rPr>
        <w:t> </w:t>
      </w:r>
      <w:r>
        <w:rPr>
          <w:vertAlign w:val="baseline"/>
        </w:rPr>
        <w:t>1280</w:t>
      </w:r>
      <w:r>
        <w:rPr>
          <w:spacing w:val="-3"/>
          <w:vertAlign w:val="baseline"/>
        </w:rPr>
        <w:t> </w:t>
      </w:r>
      <w:r>
        <w:rPr>
          <w:vertAlign w:val="baseline"/>
        </w:rPr>
        <w:t>M</w:t>
      </w:r>
      <w:r>
        <w:rPr>
          <w:vertAlign w:val="superscript"/>
        </w:rPr>
        <w:t>-1</w:t>
      </w:r>
      <w:r>
        <w:rPr>
          <w:vertAlign w:val="baseline"/>
        </w:rPr>
        <w:t>cm</w:t>
      </w:r>
      <w:r>
        <w:rPr>
          <w:vertAlign w:val="superscript"/>
        </w:rPr>
        <w:t>-1</w:t>
      </w:r>
      <w:r>
        <w:rPr>
          <w:vertAlign w:val="baseline"/>
        </w:rPr>
        <w:tab/>
      </w:r>
      <w:r>
        <w:rPr>
          <w:i/>
          <w:vertAlign w:val="baseline"/>
        </w:rPr>
        <w:t>l </w:t>
      </w:r>
      <w:r>
        <w:rPr>
          <w:vertAlign w:val="baseline"/>
        </w:rPr>
        <w:t>=</w:t>
      </w:r>
      <w:r>
        <w:rPr>
          <w:spacing w:val="-1"/>
          <w:vertAlign w:val="baseline"/>
        </w:rPr>
        <w:t> </w:t>
      </w:r>
      <w:r>
        <w:rPr>
          <w:vertAlign w:val="baseline"/>
        </w:rPr>
        <w:t>1</w:t>
      </w:r>
      <w:r>
        <w:rPr>
          <w:spacing w:val="-1"/>
          <w:vertAlign w:val="baseline"/>
        </w:rPr>
        <w:t> </w:t>
      </w:r>
      <w:r>
        <w:rPr>
          <w:vertAlign w:val="baseline"/>
        </w:rPr>
        <w:t>cm</w:t>
        <w:tab/>
      </w:r>
      <w:r>
        <w:rPr>
          <w:i/>
          <w:vertAlign w:val="baseline"/>
        </w:rPr>
        <w:t>A </w:t>
      </w:r>
      <w:r>
        <w:rPr>
          <w:vertAlign w:val="baseline"/>
        </w:rPr>
        <w:t>= </w:t>
      </w:r>
      <w:r>
        <w:rPr>
          <w:spacing w:val="-4"/>
          <w:vertAlign w:val="baseline"/>
        </w:rPr>
        <w:t>0.34 </w:t>
      </w:r>
      <w:r>
        <w:rPr>
          <w:vertAlign w:val="baseline"/>
        </w:rPr>
        <w:t>From Beer-Lambert</w:t>
      </w:r>
      <w:r>
        <w:rPr>
          <w:spacing w:val="1"/>
          <w:vertAlign w:val="baseline"/>
        </w:rPr>
        <w:t> </w:t>
      </w:r>
      <w:r>
        <w:rPr>
          <w:vertAlign w:val="baseline"/>
        </w:rPr>
        <w:t>Law:</w:t>
      </w:r>
    </w:p>
    <w:p>
      <w:pPr>
        <w:spacing w:after="0" w:line="480" w:lineRule="auto"/>
        <w:sectPr>
          <w:pgSz w:w="11910" w:h="16840"/>
          <w:pgMar w:header="722" w:footer="748" w:top="1300" w:bottom="940" w:left="1500" w:right="1480"/>
        </w:sectPr>
      </w:pPr>
    </w:p>
    <w:p>
      <w:pPr>
        <w:spacing w:before="0"/>
        <w:ind w:left="1740" w:right="0" w:firstLine="0"/>
        <w:jc w:val="left"/>
        <w:rPr>
          <w:i/>
          <w:sz w:val="24"/>
        </w:rPr>
      </w:pPr>
      <w:r>
        <w:rPr>
          <w:i/>
          <w:sz w:val="24"/>
        </w:rPr>
        <w:t>A =</w:t>
      </w:r>
      <w:r>
        <w:rPr>
          <w:i/>
          <w:spacing w:val="-1"/>
          <w:sz w:val="24"/>
        </w:rPr>
        <w:t> </w:t>
      </w:r>
      <w:r>
        <w:rPr>
          <w:i/>
          <w:spacing w:val="-8"/>
          <w:sz w:val="24"/>
        </w:rPr>
        <w:t>εcl</w:t>
      </w:r>
    </w:p>
    <w:p>
      <w:pPr>
        <w:pStyle w:val="BodyText"/>
        <w:spacing w:before="9"/>
        <w:rPr>
          <w:i/>
          <w:sz w:val="30"/>
        </w:rPr>
      </w:pPr>
    </w:p>
    <w:p>
      <w:pPr>
        <w:spacing w:line="284" w:lineRule="exact" w:before="0"/>
        <w:ind w:left="1740" w:right="0" w:firstLine="0"/>
        <w:jc w:val="left"/>
        <w:rPr>
          <w:rFonts w:ascii="Symbola" w:eastAsia="Symbola"/>
          <w:sz w:val="28"/>
        </w:rPr>
      </w:pPr>
      <w:r>
        <w:rPr/>
        <w:pict>
          <v:rect style="position:absolute;margin-left:184.679993pt;margin-top:8.631315pt;width:8.880pt;height:.959pt;mso-position-horizontal-relative:page;mso-position-vertical-relative:paragraph;z-index:-18506752" filled="true" fillcolor="#000000" stroked="false">
            <v:fill type="solid"/>
            <w10:wrap type="none"/>
          </v:rect>
        </w:pict>
      </w:r>
      <w:r>
        <w:rPr>
          <w:i/>
          <w:sz w:val="28"/>
        </w:rPr>
        <w:t>c =</w:t>
      </w:r>
      <w:r>
        <w:rPr>
          <w:i/>
          <w:spacing w:val="25"/>
          <w:sz w:val="28"/>
        </w:rPr>
        <w:t> </w:t>
      </w:r>
      <w:r>
        <w:rPr>
          <w:rFonts w:ascii="Symbola" w:eastAsia="Symbola"/>
          <w:sz w:val="28"/>
          <w:vertAlign w:val="superscript"/>
        </w:rPr>
        <w:t>𝐴</w:t>
      </w:r>
    </w:p>
    <w:p>
      <w:pPr>
        <w:spacing w:line="162" w:lineRule="exact" w:before="0"/>
        <w:ind w:left="0" w:right="64" w:firstLine="0"/>
        <w:jc w:val="right"/>
        <w:rPr>
          <w:rFonts w:ascii="Symbola" w:eastAsia="Symbola"/>
          <w:sz w:val="20"/>
        </w:rPr>
      </w:pPr>
      <w:r>
        <w:rPr>
          <w:rFonts w:ascii="Symbola" w:eastAsia="Symbola"/>
          <w:w w:val="75"/>
          <w:sz w:val="20"/>
        </w:rPr>
        <w:t>𝜀𝑙</w:t>
      </w:r>
    </w:p>
    <w:p>
      <w:pPr>
        <w:pStyle w:val="BodyText"/>
        <w:rPr>
          <w:rFonts w:ascii="Symbola"/>
          <w:sz w:val="22"/>
        </w:rPr>
      </w:pPr>
      <w:r>
        <w:rPr/>
        <w:br w:type="column"/>
      </w:r>
      <w:r>
        <w:rPr>
          <w:rFonts w:ascii="Symbola"/>
          <w:sz w:val="22"/>
        </w:rPr>
      </w:r>
    </w:p>
    <w:p>
      <w:pPr>
        <w:pStyle w:val="BodyText"/>
        <w:rPr>
          <w:rFonts w:ascii="Symbola"/>
          <w:sz w:val="22"/>
        </w:rPr>
      </w:pPr>
    </w:p>
    <w:p>
      <w:pPr>
        <w:spacing w:before="129"/>
        <w:ind w:left="243" w:right="0" w:firstLine="0"/>
        <w:jc w:val="center"/>
        <w:rPr>
          <w:rFonts w:ascii="Symbola"/>
          <w:sz w:val="20"/>
        </w:rPr>
      </w:pPr>
      <w:r>
        <w:rPr>
          <w:rFonts w:ascii="Symbola"/>
          <w:w w:val="105"/>
          <w:sz w:val="20"/>
        </w:rPr>
        <w:t>0.32</w:t>
      </w:r>
    </w:p>
    <w:p>
      <w:pPr>
        <w:pStyle w:val="BodyText"/>
        <w:spacing w:before="3"/>
        <w:rPr>
          <w:rFonts w:ascii="Symbola"/>
          <w:sz w:val="3"/>
        </w:rPr>
      </w:pPr>
    </w:p>
    <w:p>
      <w:pPr>
        <w:pStyle w:val="BodyText"/>
        <w:spacing w:line="20" w:lineRule="exact"/>
        <w:ind w:left="247" w:right="-58"/>
        <w:rPr>
          <w:rFonts w:ascii="Symbola"/>
          <w:sz w:val="2"/>
        </w:rPr>
      </w:pPr>
      <w:r>
        <w:rPr>
          <w:rFonts w:ascii="Symbola"/>
          <w:sz w:val="2"/>
        </w:rPr>
        <w:pict>
          <v:group style="width:102.5pt;height:1pt;mso-position-horizontal-relative:char;mso-position-vertical-relative:line" coordorigin="0,0" coordsize="2050,20">
            <v:rect style="position:absolute;left:0;top:0;width:2050;height:20" filled="true" fillcolor="#000000" stroked="false">
              <v:fill type="solid"/>
            </v:rect>
          </v:group>
        </w:pict>
      </w:r>
      <w:r>
        <w:rPr>
          <w:rFonts w:ascii="Symbola"/>
          <w:sz w:val="2"/>
        </w:rPr>
      </w:r>
    </w:p>
    <w:p>
      <w:pPr>
        <w:spacing w:before="25"/>
        <w:ind w:left="247" w:right="0" w:firstLine="0"/>
        <w:jc w:val="center"/>
        <w:rPr>
          <w:rFonts w:ascii="Symbola" w:hAnsi="Symbola"/>
          <w:sz w:val="20"/>
        </w:rPr>
      </w:pPr>
      <w:r>
        <w:rPr/>
        <w:pict>
          <v:shape style="position:absolute;margin-left:197.996643pt;margin-top:-9.066098pt;width:9.5pt;height:15.55pt;mso-position-horizontal-relative:page;mso-position-vertical-relative:paragraph;z-index:15762944" type="#_x0000_t202" filled="false" stroked="false">
            <v:textbox inset="0,0,0,0">
              <w:txbxContent>
                <w:p>
                  <w:pPr>
                    <w:spacing w:line="311" w:lineRule="exact" w:before="0"/>
                    <w:ind w:left="0" w:right="0" w:firstLine="0"/>
                    <w:jc w:val="left"/>
                    <w:rPr>
                      <w:i/>
                      <w:sz w:val="28"/>
                    </w:rPr>
                  </w:pPr>
                  <w:r>
                    <w:rPr>
                      <w:i/>
                      <w:w w:val="100"/>
                      <w:sz w:val="28"/>
                    </w:rPr>
                    <w:t>=</w:t>
                  </w:r>
                </w:p>
              </w:txbxContent>
            </v:textbox>
            <w10:wrap type="none"/>
          </v:shape>
        </w:pict>
      </w:r>
      <w:r>
        <w:rPr>
          <w:rFonts w:ascii="Symbola" w:hAnsi="Symbola"/>
          <w:w w:val="110"/>
          <w:sz w:val="20"/>
        </w:rPr>
        <w:t>1280M</w:t>
      </w:r>
      <w:r>
        <w:rPr>
          <w:rFonts w:ascii="Symbola" w:hAnsi="Symbola"/>
          <w:w w:val="110"/>
          <w:position w:val="6"/>
          <w:sz w:val="16"/>
        </w:rPr>
        <w:t>−1</w:t>
      </w:r>
      <w:r>
        <w:rPr>
          <w:rFonts w:ascii="Symbola" w:hAnsi="Symbola"/>
          <w:w w:val="110"/>
          <w:sz w:val="20"/>
        </w:rPr>
        <w:t>cm</w:t>
      </w:r>
      <w:r>
        <w:rPr>
          <w:rFonts w:ascii="Symbola" w:hAnsi="Symbola"/>
          <w:w w:val="110"/>
          <w:position w:val="6"/>
          <w:sz w:val="16"/>
        </w:rPr>
        <w:t>−1</w:t>
      </w:r>
      <w:r>
        <w:rPr>
          <w:rFonts w:ascii="Symbola" w:hAnsi="Symbola"/>
          <w:spacing w:val="-7"/>
          <w:w w:val="110"/>
          <w:position w:val="6"/>
          <w:sz w:val="16"/>
        </w:rPr>
        <w:t> </w:t>
      </w:r>
      <w:r>
        <w:rPr>
          <w:rFonts w:ascii="Symbola" w:hAnsi="Symbola"/>
          <w:w w:val="110"/>
          <w:sz w:val="20"/>
        </w:rPr>
        <w:t>×</w:t>
      </w:r>
      <w:r>
        <w:rPr>
          <w:rFonts w:ascii="Symbola" w:hAnsi="Symbola"/>
          <w:spacing w:val="-22"/>
          <w:w w:val="110"/>
          <w:sz w:val="20"/>
        </w:rPr>
        <w:t> </w:t>
      </w:r>
      <w:r>
        <w:rPr>
          <w:rFonts w:ascii="Symbola" w:hAnsi="Symbola"/>
          <w:w w:val="110"/>
          <w:sz w:val="20"/>
        </w:rPr>
        <w:t>1</w:t>
      </w:r>
      <w:r>
        <w:rPr>
          <w:rFonts w:ascii="Symbola" w:hAnsi="Symbola"/>
          <w:spacing w:val="-22"/>
          <w:w w:val="110"/>
          <w:sz w:val="20"/>
        </w:rPr>
        <w:t> </w:t>
      </w:r>
      <w:r>
        <w:rPr>
          <w:rFonts w:ascii="Symbola" w:hAnsi="Symbola"/>
          <w:spacing w:val="-6"/>
          <w:w w:val="110"/>
          <w:sz w:val="20"/>
        </w:rPr>
        <w:t>cm</w:t>
      </w:r>
    </w:p>
    <w:p>
      <w:pPr>
        <w:pStyle w:val="BodyText"/>
        <w:rPr>
          <w:rFonts w:ascii="Symbola"/>
          <w:sz w:val="26"/>
        </w:rPr>
      </w:pPr>
      <w:r>
        <w:rPr/>
        <w:br w:type="column"/>
      </w:r>
      <w:r>
        <w:rPr>
          <w:rFonts w:ascii="Symbola"/>
          <w:sz w:val="26"/>
        </w:rPr>
      </w:r>
    </w:p>
    <w:p>
      <w:pPr>
        <w:pStyle w:val="BodyText"/>
        <w:rPr>
          <w:rFonts w:ascii="Symbola"/>
          <w:sz w:val="26"/>
        </w:rPr>
      </w:pPr>
    </w:p>
    <w:p>
      <w:pPr>
        <w:pStyle w:val="BodyText"/>
        <w:tabs>
          <w:tab w:pos="2210" w:val="left" w:leader="none"/>
        </w:tabs>
        <w:spacing w:before="147"/>
        <w:ind w:left="590"/>
      </w:pPr>
      <w:r>
        <w:rPr>
          <w:i/>
        </w:rPr>
        <w:t>=</w:t>
      </w:r>
      <w:r>
        <w:rPr>
          <w:i/>
          <w:spacing w:val="-2"/>
        </w:rPr>
        <w:t> </w:t>
      </w:r>
      <w:r>
        <w:rPr/>
        <w:t>0.00025</w:t>
      </w:r>
      <w:r>
        <w:rPr>
          <w:spacing w:val="-1"/>
        </w:rPr>
        <w:t> </w:t>
      </w:r>
      <w:r>
        <w:rPr/>
        <w:t>M</w:t>
        <w:tab/>
        <w:t>= 250</w:t>
      </w:r>
      <w:r>
        <w:rPr>
          <w:spacing w:val="-1"/>
        </w:rPr>
        <w:t> </w:t>
      </w:r>
      <w:r>
        <w:rPr/>
        <w:t>μM</w:t>
      </w:r>
    </w:p>
    <w:p>
      <w:pPr>
        <w:spacing w:after="0"/>
        <w:sectPr>
          <w:type w:val="continuous"/>
          <w:pgSz w:w="11910" w:h="16840"/>
          <w:pgMar w:top="1300" w:bottom="940" w:left="1500" w:right="1480"/>
          <w:cols w:num="3" w:equalWidth="0">
            <w:col w:w="2433" w:space="40"/>
            <w:col w:w="2298" w:space="39"/>
            <w:col w:w="4120"/>
          </w:cols>
        </w:sectPr>
      </w:pPr>
    </w:p>
    <w:p>
      <w:pPr>
        <w:pStyle w:val="BodyText"/>
        <w:spacing w:before="6"/>
        <w:rPr>
          <w:sz w:val="12"/>
        </w:rPr>
      </w:pPr>
    </w:p>
    <w:p>
      <w:pPr>
        <w:pStyle w:val="Heading4"/>
        <w:spacing w:line="276" w:lineRule="auto" w:before="90"/>
        <w:ind w:right="316"/>
      </w:pPr>
      <w:r>
        <w:rPr/>
        <w:t>Q2: Calculate the concentration of a tryptophan solution that gives an absorbance of 0.25 at 280 nm in a 1 mm path length cell (Given ε</w:t>
      </w:r>
      <w:r>
        <w:rPr>
          <w:vertAlign w:val="subscript"/>
        </w:rPr>
        <w:t>280</w:t>
      </w:r>
      <w:r>
        <w:rPr>
          <w:vertAlign w:val="baseline"/>
        </w:rPr>
        <w:t> </w:t>
      </w:r>
      <w:r>
        <w:rPr>
          <w:vertAlign w:val="subscript"/>
        </w:rPr>
        <w:t>nm</w:t>
      </w:r>
      <w:r>
        <w:rPr>
          <w:vertAlign w:val="baseline"/>
        </w:rPr>
        <w:t> = 5690 M</w:t>
      </w:r>
      <w:r>
        <w:rPr>
          <w:vertAlign w:val="superscript"/>
        </w:rPr>
        <w:t>-1</w:t>
      </w:r>
      <w:r>
        <w:rPr>
          <w:vertAlign w:val="baseline"/>
        </w:rPr>
        <w:t>cm</w:t>
      </w:r>
      <w:r>
        <w:rPr>
          <w:vertAlign w:val="superscript"/>
        </w:rPr>
        <w:t>-1</w:t>
      </w:r>
      <w:r>
        <w:rPr>
          <w:vertAlign w:val="baseline"/>
        </w:rPr>
        <w:t>).</w:t>
      </w:r>
    </w:p>
    <w:p>
      <w:pPr>
        <w:pStyle w:val="BodyText"/>
        <w:tabs>
          <w:tab w:pos="1019" w:val="left" w:leader="none"/>
        </w:tabs>
        <w:spacing w:before="193"/>
        <w:ind w:left="1020" w:right="572" w:hanging="720"/>
      </w:pPr>
      <w:r>
        <w:rPr>
          <w:b/>
        </w:rPr>
        <w:t>Ans:</w:t>
        <w:tab/>
      </w:r>
      <w:r>
        <w:rPr/>
        <w:t>The concentration of the given sample can be estimated using Beer-Lambert law:</w:t>
      </w:r>
    </w:p>
    <w:p>
      <w:pPr>
        <w:pStyle w:val="BodyText"/>
        <w:spacing w:before="48"/>
        <w:ind w:left="3180"/>
        <w:rPr>
          <w:rFonts w:ascii="Symbola" w:eastAsia="Symbola"/>
        </w:rPr>
      </w:pPr>
      <w:r>
        <w:rPr>
          <w:rFonts w:ascii="Symbola" w:eastAsia="Symbola"/>
        </w:rPr>
        <w:t>𝐴 = 𝜀𝑐𝑙</w:t>
      </w:r>
    </w:p>
    <w:p>
      <w:pPr>
        <w:pStyle w:val="BodyText"/>
        <w:spacing w:line="207" w:lineRule="exact" w:before="96"/>
        <w:ind w:left="3180"/>
        <w:rPr>
          <w:rFonts w:ascii="Symbola" w:eastAsia="Symbola"/>
        </w:rPr>
      </w:pPr>
      <w:r>
        <w:rPr/>
        <w:pict>
          <v:rect style="position:absolute;margin-left:258.119995pt;margin-top:10.370165pt;width:7.56pt;height:.84pt;mso-position-horizontal-relative:page;mso-position-vertical-relative:paragraph;z-index:-18506240" filled="true" fillcolor="#000000" stroked="false">
            <v:fill type="solid"/>
            <w10:wrap type="none"/>
          </v:rect>
        </w:pict>
      </w:r>
      <w:r>
        <w:rPr>
          <w:rFonts w:ascii="Symbola" w:eastAsia="Symbola"/>
        </w:rPr>
        <w:t>𝑐 = </w:t>
      </w:r>
      <w:r>
        <w:rPr>
          <w:rFonts w:ascii="Symbola" w:eastAsia="Symbola"/>
          <w:vertAlign w:val="superscript"/>
        </w:rPr>
        <w:t>𝐴</w:t>
      </w:r>
    </w:p>
    <w:p>
      <w:pPr>
        <w:spacing w:line="137" w:lineRule="exact" w:before="0"/>
        <w:ind w:left="202" w:right="1654" w:firstLine="0"/>
        <w:jc w:val="center"/>
        <w:rPr>
          <w:rFonts w:ascii="Symbola" w:eastAsia="Symbola"/>
          <w:sz w:val="17"/>
        </w:rPr>
      </w:pPr>
      <w:r>
        <w:rPr>
          <w:rFonts w:ascii="Symbola" w:eastAsia="Symbola"/>
          <w:w w:val="85"/>
          <w:sz w:val="17"/>
        </w:rPr>
        <w:t>𝜀𝑙</w:t>
      </w:r>
    </w:p>
    <w:p>
      <w:pPr>
        <w:spacing w:before="118"/>
        <w:ind w:left="813" w:right="617" w:firstLine="0"/>
        <w:jc w:val="center"/>
        <w:rPr>
          <w:rFonts w:ascii="Symbola"/>
          <w:sz w:val="17"/>
        </w:rPr>
      </w:pPr>
      <w:r>
        <w:rPr/>
        <w:pict>
          <v:rect style="position:absolute;margin-left:258.119995pt;margin-top:15.805542pt;width:89.76pt;height:.84pt;mso-position-horizontal-relative:page;mso-position-vertical-relative:paragraph;z-index:-15697408;mso-wrap-distance-left:0;mso-wrap-distance-right:0" filled="true" fillcolor="#000000" stroked="false">
            <v:fill type="solid"/>
            <w10:wrap type="topAndBottom"/>
          </v:rect>
        </w:pict>
      </w:r>
      <w:r>
        <w:rPr/>
        <w:pict>
          <v:shape style="position:absolute;margin-left:234pt;margin-top:8.243198pt;width:18.25pt;height:14.1pt;mso-position-horizontal-relative:page;mso-position-vertical-relative:paragraph;z-index:15763456" type="#_x0000_t202" filled="false" stroked="false">
            <v:textbox inset="0,0,0,0">
              <w:txbxContent>
                <w:p>
                  <w:pPr>
                    <w:pStyle w:val="BodyText"/>
                    <w:spacing w:before="40"/>
                    <w:rPr>
                      <w:rFonts w:ascii="Symbola" w:eastAsia="Symbola"/>
                    </w:rPr>
                  </w:pPr>
                  <w:r>
                    <w:rPr>
                      <w:rFonts w:ascii="Symbola" w:eastAsia="Symbola"/>
                    </w:rPr>
                    <w:t>𝑐 </w:t>
                  </w:r>
                  <w:r>
                    <w:rPr>
                      <w:rFonts w:ascii="Symbola" w:eastAsia="Symbola"/>
                      <w:spacing w:val="-20"/>
                    </w:rPr>
                    <w:t>=</w:t>
                  </w:r>
                </w:p>
              </w:txbxContent>
            </v:textbox>
            <w10:wrap type="none"/>
          </v:shape>
        </w:pict>
      </w:r>
      <w:r>
        <w:rPr>
          <w:rFonts w:ascii="Symbola"/>
          <w:w w:val="110"/>
          <w:sz w:val="17"/>
        </w:rPr>
        <w:t>0.25</w:t>
      </w:r>
    </w:p>
    <w:p>
      <w:pPr>
        <w:spacing w:before="0"/>
        <w:ind w:left="810" w:right="617" w:firstLine="0"/>
        <w:jc w:val="center"/>
        <w:rPr>
          <w:rFonts w:ascii="Symbola" w:hAnsi="Symbola" w:eastAsia="Symbola"/>
          <w:sz w:val="17"/>
        </w:rPr>
      </w:pPr>
      <w:r>
        <w:rPr>
          <w:rFonts w:ascii="Symbola" w:hAnsi="Symbola" w:eastAsia="Symbola"/>
          <w:w w:val="130"/>
          <w:sz w:val="17"/>
        </w:rPr>
        <w:t>5690 𝑀</w:t>
      </w:r>
      <w:r>
        <w:rPr>
          <w:rFonts w:ascii="Symbola" w:hAnsi="Symbola" w:eastAsia="Symbola"/>
          <w:w w:val="130"/>
          <w:position w:val="5"/>
          <w:sz w:val="14"/>
        </w:rPr>
        <w:t>−1</w:t>
      </w:r>
      <w:r>
        <w:rPr>
          <w:rFonts w:ascii="Symbola" w:hAnsi="Symbola" w:eastAsia="Symbola"/>
          <w:w w:val="130"/>
          <w:sz w:val="17"/>
        </w:rPr>
        <w:t>𝑐𝑚</w:t>
      </w:r>
      <w:r>
        <w:rPr>
          <w:rFonts w:ascii="Symbola" w:hAnsi="Symbola" w:eastAsia="Symbola"/>
          <w:w w:val="130"/>
          <w:position w:val="5"/>
          <w:sz w:val="14"/>
        </w:rPr>
        <w:t>−1</w:t>
      </w:r>
      <w:r>
        <w:rPr>
          <w:rFonts w:ascii="Symbola" w:hAnsi="Symbola" w:eastAsia="Symbola"/>
          <w:w w:val="130"/>
          <w:sz w:val="17"/>
        </w:rPr>
        <w:t>×1 </w:t>
      </w:r>
      <w:r>
        <w:rPr>
          <w:rFonts w:ascii="Symbola" w:hAnsi="Symbola" w:eastAsia="Symbola"/>
          <w:w w:val="140"/>
          <w:sz w:val="17"/>
        </w:rPr>
        <w:t>𝑚𝑚</w:t>
      </w:r>
    </w:p>
    <w:p>
      <w:pPr>
        <w:spacing w:before="118"/>
        <w:ind w:left="947" w:right="617" w:firstLine="0"/>
        <w:jc w:val="center"/>
        <w:rPr>
          <w:rFonts w:ascii="Symbola"/>
          <w:sz w:val="17"/>
        </w:rPr>
      </w:pPr>
      <w:r>
        <w:rPr/>
        <w:pict>
          <v:rect style="position:absolute;margin-left:258.119995pt;margin-top:15.804531pt;width:96.48pt;height:.841pt;mso-position-horizontal-relative:page;mso-position-vertical-relative:paragraph;z-index:-15696896;mso-wrap-distance-left:0;mso-wrap-distance-right:0" filled="true" fillcolor="#000000" stroked="false">
            <v:fill type="solid"/>
            <w10:wrap type="topAndBottom"/>
          </v:rect>
        </w:pict>
      </w:r>
      <w:r>
        <w:rPr/>
        <w:pict>
          <v:shape style="position:absolute;margin-left:234pt;margin-top:8.243187pt;width:18.25pt;height:14.1pt;mso-position-horizontal-relative:page;mso-position-vertical-relative:paragraph;z-index:15763968" type="#_x0000_t202" filled="false" stroked="false">
            <v:textbox inset="0,0,0,0">
              <w:txbxContent>
                <w:p>
                  <w:pPr>
                    <w:pStyle w:val="BodyText"/>
                    <w:spacing w:before="40"/>
                    <w:rPr>
                      <w:rFonts w:ascii="Symbola" w:eastAsia="Symbola"/>
                    </w:rPr>
                  </w:pPr>
                  <w:r>
                    <w:rPr>
                      <w:rFonts w:ascii="Symbola" w:eastAsia="Symbola"/>
                    </w:rPr>
                    <w:t>𝑐 </w:t>
                  </w:r>
                  <w:r>
                    <w:rPr>
                      <w:rFonts w:ascii="Symbola" w:eastAsia="Symbola"/>
                      <w:spacing w:val="-20"/>
                    </w:rPr>
                    <w:t>=</w:t>
                  </w:r>
                </w:p>
              </w:txbxContent>
            </v:textbox>
            <w10:wrap type="none"/>
          </v:shape>
        </w:pict>
      </w:r>
      <w:r>
        <w:rPr>
          <w:rFonts w:ascii="Symbola"/>
          <w:w w:val="110"/>
          <w:sz w:val="17"/>
        </w:rPr>
        <w:t>0.25</w:t>
      </w:r>
    </w:p>
    <w:p>
      <w:pPr>
        <w:spacing w:before="0"/>
        <w:ind w:left="942" w:right="617" w:firstLine="0"/>
        <w:jc w:val="center"/>
        <w:rPr>
          <w:rFonts w:ascii="Symbola" w:hAnsi="Symbola" w:eastAsia="Symbola"/>
          <w:sz w:val="17"/>
        </w:rPr>
      </w:pPr>
      <w:r>
        <w:rPr>
          <w:rFonts w:ascii="Symbola" w:hAnsi="Symbola" w:eastAsia="Symbola"/>
          <w:w w:val="125"/>
          <w:sz w:val="17"/>
        </w:rPr>
        <w:t>5690 𝑀</w:t>
      </w:r>
      <w:r>
        <w:rPr>
          <w:rFonts w:ascii="Symbola" w:hAnsi="Symbola" w:eastAsia="Symbola"/>
          <w:w w:val="125"/>
          <w:position w:val="5"/>
          <w:sz w:val="14"/>
        </w:rPr>
        <w:t>−1</w:t>
      </w:r>
      <w:r>
        <w:rPr>
          <w:rFonts w:ascii="Symbola" w:hAnsi="Symbola" w:eastAsia="Symbola"/>
          <w:w w:val="125"/>
          <w:sz w:val="17"/>
        </w:rPr>
        <w:t>𝑐𝑚</w:t>
      </w:r>
      <w:r>
        <w:rPr>
          <w:rFonts w:ascii="Symbola" w:hAnsi="Symbola" w:eastAsia="Symbola"/>
          <w:w w:val="125"/>
          <w:position w:val="5"/>
          <w:sz w:val="14"/>
        </w:rPr>
        <w:t>−1</w:t>
      </w:r>
      <w:r>
        <w:rPr>
          <w:rFonts w:ascii="Symbola" w:hAnsi="Symbola" w:eastAsia="Symbola"/>
          <w:w w:val="125"/>
          <w:sz w:val="17"/>
        </w:rPr>
        <w:t>×0.1 </w:t>
      </w:r>
      <w:r>
        <w:rPr>
          <w:rFonts w:ascii="Symbola" w:hAnsi="Symbola" w:eastAsia="Symbola"/>
          <w:w w:val="140"/>
          <w:sz w:val="17"/>
        </w:rPr>
        <w:t>𝑚𝑚</w:t>
      </w:r>
    </w:p>
    <w:p>
      <w:pPr>
        <w:pStyle w:val="BodyText"/>
        <w:spacing w:before="154"/>
        <w:ind w:left="3180"/>
        <w:rPr>
          <w:rFonts w:ascii="Symbola" w:hAnsi="Symbola" w:eastAsia="Symbola"/>
        </w:rPr>
      </w:pPr>
      <w:r>
        <w:rPr>
          <w:rFonts w:ascii="Symbola" w:hAnsi="Symbola" w:eastAsia="Symbola"/>
          <w:w w:val="105"/>
        </w:rPr>
        <w:t>𝑐 = 4.39 × 10</w:t>
      </w:r>
      <w:r>
        <w:rPr>
          <w:rFonts w:ascii="Symbola" w:hAnsi="Symbola" w:eastAsia="Symbola"/>
          <w:w w:val="105"/>
          <w:vertAlign w:val="superscript"/>
        </w:rPr>
        <w:t>−5</w:t>
      </w:r>
      <w:r>
        <w:rPr>
          <w:rFonts w:ascii="Symbola" w:hAnsi="Symbola" w:eastAsia="Symbola"/>
          <w:w w:val="105"/>
          <w:vertAlign w:val="baseline"/>
        </w:rPr>
        <w:t> </w:t>
      </w:r>
      <w:r>
        <w:rPr>
          <w:rFonts w:ascii="Symbola" w:hAnsi="Symbola" w:eastAsia="Symbola"/>
          <w:w w:val="125"/>
          <w:vertAlign w:val="baseline"/>
        </w:rPr>
        <w:t>𝑀 </w:t>
      </w:r>
      <w:r>
        <w:rPr>
          <w:rFonts w:ascii="Symbola" w:hAnsi="Symbola" w:eastAsia="Symbola"/>
          <w:w w:val="105"/>
          <w:vertAlign w:val="baseline"/>
        </w:rPr>
        <w:t>= 43.9 𝜇𝑀</w:t>
      </w:r>
    </w:p>
    <w:p>
      <w:pPr>
        <w:pStyle w:val="Heading4"/>
        <w:spacing w:line="276" w:lineRule="auto" w:before="144"/>
        <w:ind w:right="314"/>
      </w:pPr>
      <w:r>
        <w:rPr/>
        <w:t>Q3: Concentration of a pure compound in solution can easily be determined by taking absorbance at any wavelength in a given spectral region if </w:t>
      </w:r>
      <w:r>
        <w:rPr>
          <w:i/>
        </w:rPr>
        <w:t>ε </w:t>
      </w:r>
      <w:r>
        <w:rPr/>
        <w:t>at these wavelengths is known. Why then absorbance is generally recorded at </w:t>
      </w:r>
      <w:r>
        <w:rPr>
          <w:i/>
        </w:rPr>
        <w:t>λ</w:t>
      </w:r>
      <w:r>
        <w:rPr>
          <w:i/>
          <w:vertAlign w:val="subscript"/>
        </w:rPr>
        <w:t>max</w:t>
      </w:r>
      <w:r>
        <w:rPr>
          <w:vertAlign w:val="baseline"/>
        </w:rPr>
        <w:t>?</w:t>
      </w:r>
    </w:p>
    <w:p>
      <w:pPr>
        <w:pStyle w:val="BodyText"/>
        <w:spacing w:before="193"/>
        <w:ind w:left="300"/>
        <w:jc w:val="both"/>
      </w:pPr>
      <w:r>
        <w:rPr>
          <w:b/>
        </w:rPr>
        <w:t>Ans: </w:t>
      </w:r>
      <w:r>
        <w:rPr/>
        <w:t>This is done for the following reasons:</w:t>
      </w:r>
    </w:p>
    <w:p>
      <w:pPr>
        <w:pStyle w:val="BodyText"/>
      </w:pPr>
    </w:p>
    <w:p>
      <w:pPr>
        <w:pStyle w:val="ListParagraph"/>
        <w:numPr>
          <w:ilvl w:val="1"/>
          <w:numId w:val="7"/>
        </w:numPr>
        <w:tabs>
          <w:tab w:pos="1380" w:val="left" w:leader="none"/>
        </w:tabs>
        <w:spacing w:line="240" w:lineRule="auto" w:before="0" w:after="0"/>
        <w:ind w:left="1380" w:right="951" w:hanging="360"/>
        <w:jc w:val="left"/>
        <w:rPr>
          <w:sz w:val="24"/>
        </w:rPr>
      </w:pPr>
      <w:r>
        <w:rPr>
          <w:sz w:val="24"/>
        </w:rPr>
        <w:t>At </w:t>
      </w:r>
      <w:r>
        <w:rPr>
          <w:i/>
          <w:sz w:val="24"/>
        </w:rPr>
        <w:t>λ</w:t>
      </w:r>
      <w:r>
        <w:rPr>
          <w:i/>
          <w:sz w:val="24"/>
          <w:vertAlign w:val="subscript"/>
        </w:rPr>
        <w:t>max</w:t>
      </w:r>
      <w:r>
        <w:rPr>
          <w:sz w:val="24"/>
          <w:vertAlign w:val="baseline"/>
        </w:rPr>
        <w:t>, the </w:t>
      </w:r>
      <w:r>
        <w:rPr>
          <w:i/>
          <w:sz w:val="24"/>
          <w:vertAlign w:val="baseline"/>
        </w:rPr>
        <w:t>ε </w:t>
      </w:r>
      <w:r>
        <w:rPr>
          <w:sz w:val="24"/>
          <w:vertAlign w:val="baseline"/>
        </w:rPr>
        <w:t>value is maximum, therefore reliable absorbance </w:t>
      </w:r>
      <w:r>
        <w:rPr>
          <w:i/>
          <w:sz w:val="24"/>
          <w:vertAlign w:val="baseline"/>
        </w:rPr>
        <w:t>i.e. A </w:t>
      </w:r>
      <w:r>
        <w:rPr>
          <w:sz w:val="24"/>
          <w:vertAlign w:val="baseline"/>
        </w:rPr>
        <w:t>between 0.05 – 0.5 can be obtained at lower concentrations of the compound.</w:t>
      </w:r>
    </w:p>
    <w:p>
      <w:pPr>
        <w:pStyle w:val="ListParagraph"/>
        <w:numPr>
          <w:ilvl w:val="1"/>
          <w:numId w:val="7"/>
        </w:numPr>
        <w:tabs>
          <w:tab w:pos="1380" w:val="left" w:leader="none"/>
        </w:tabs>
        <w:spacing w:line="182" w:lineRule="exact" w:before="72" w:after="0"/>
        <w:ind w:left="1380" w:right="0" w:hanging="360"/>
        <w:jc w:val="left"/>
        <w:rPr>
          <w:sz w:val="24"/>
        </w:rPr>
      </w:pPr>
      <w:r>
        <w:rPr/>
        <w:pict>
          <v:rect style="position:absolute;margin-left:363.839996pt;margin-top:10.963123pt;width:11.16pt;height:.84pt;mso-position-horizontal-relative:page;mso-position-vertical-relative:paragraph;z-index:15761920" filled="true" fillcolor="#000000" stroked="false">
            <v:fill type="solid"/>
            <w10:wrap type="none"/>
          </v:rect>
        </w:pict>
      </w:r>
      <w:r>
        <w:rPr/>
        <w:pict>
          <v:rect style="position:absolute;margin-left:395.519989pt;margin-top:10.963123pt;width:10.56pt;height:.84pt;mso-position-horizontal-relative:page;mso-position-vertical-relative:paragraph;z-index:15762432" filled="true" fillcolor="#000000" stroked="false">
            <v:fill type="solid"/>
            <w10:wrap type="none"/>
          </v:rect>
        </w:pict>
      </w:r>
      <w:r>
        <w:rPr>
          <w:sz w:val="24"/>
        </w:rPr>
        <w:t>At </w:t>
      </w:r>
      <w:r>
        <w:rPr>
          <w:i/>
          <w:sz w:val="24"/>
        </w:rPr>
        <w:t>λ</w:t>
      </w:r>
      <w:r>
        <w:rPr>
          <w:i/>
          <w:sz w:val="24"/>
          <w:vertAlign w:val="subscript"/>
        </w:rPr>
        <w:t>max</w:t>
      </w:r>
      <w:r>
        <w:rPr>
          <w:sz w:val="24"/>
          <w:vertAlign w:val="baseline"/>
        </w:rPr>
        <w:t>, the slope of the absorption spectrum, </w:t>
      </w:r>
      <w:r>
        <w:rPr>
          <w:rFonts w:ascii="Symbola" w:hAnsi="Symbola" w:eastAsia="Symbola"/>
          <w:sz w:val="24"/>
          <w:vertAlign w:val="superscript"/>
        </w:rPr>
        <w:t>𝑑𝐴</w:t>
      </w:r>
      <w:r>
        <w:rPr>
          <w:rFonts w:ascii="Symbola" w:hAnsi="Symbola" w:eastAsia="Symbola"/>
          <w:sz w:val="24"/>
          <w:vertAlign w:val="baseline"/>
        </w:rPr>
        <w:t> or </w:t>
      </w:r>
      <w:r>
        <w:rPr>
          <w:rFonts w:ascii="Symbola" w:hAnsi="Symbola" w:eastAsia="Symbola"/>
          <w:spacing w:val="3"/>
          <w:sz w:val="24"/>
          <w:vertAlign w:val="superscript"/>
        </w:rPr>
        <w:t>𝑑𝜀</w:t>
      </w:r>
      <w:r>
        <w:rPr>
          <w:spacing w:val="3"/>
          <w:sz w:val="24"/>
          <w:vertAlign w:val="baseline"/>
        </w:rPr>
        <w:t>, </w:t>
      </w:r>
      <w:r>
        <w:rPr>
          <w:sz w:val="24"/>
          <w:vertAlign w:val="baseline"/>
        </w:rPr>
        <w:t>is zero.</w:t>
      </w:r>
      <w:r>
        <w:rPr>
          <w:spacing w:val="-2"/>
          <w:sz w:val="24"/>
          <w:vertAlign w:val="baseline"/>
        </w:rPr>
        <w:t> </w:t>
      </w:r>
      <w:r>
        <w:rPr>
          <w:sz w:val="24"/>
          <w:vertAlign w:val="baseline"/>
        </w:rPr>
        <w:t>This</w:t>
      </w:r>
    </w:p>
    <w:p>
      <w:pPr>
        <w:tabs>
          <w:tab w:pos="6410" w:val="left" w:leader="none"/>
        </w:tabs>
        <w:spacing w:line="138" w:lineRule="exact" w:before="29"/>
        <w:ind w:left="5781" w:right="0" w:firstLine="0"/>
        <w:jc w:val="left"/>
        <w:rPr>
          <w:rFonts w:ascii="Symbola" w:eastAsia="Symbola"/>
          <w:sz w:val="17"/>
        </w:rPr>
      </w:pPr>
      <w:r>
        <w:rPr>
          <w:rFonts w:ascii="Symbola" w:eastAsia="Symbola"/>
          <w:w w:val="110"/>
          <w:sz w:val="17"/>
        </w:rPr>
        <w:t>𝑑𝜆</w:t>
        <w:tab/>
        <w:t>𝑑𝜆</w:t>
      </w:r>
    </w:p>
    <w:p>
      <w:pPr>
        <w:pStyle w:val="BodyText"/>
        <w:ind w:left="1380" w:right="632"/>
      </w:pPr>
      <w:r>
        <w:rPr/>
        <w:t>ensures that for a given bandwidth of the incident radiation, the </w:t>
      </w:r>
      <w:r>
        <w:rPr>
          <w:i/>
        </w:rPr>
        <w:t>ε </w:t>
      </w:r>
      <w:r>
        <w:rPr/>
        <w:t>is relatively constant in this region as compared to the regions of non-zero slopes. If </w:t>
      </w:r>
      <w:r>
        <w:rPr>
          <w:i/>
        </w:rPr>
        <w:t>ε </w:t>
      </w:r>
      <w:r>
        <w:rPr/>
        <w:t>is not constant, the linearity of the Beer Lambert law is compromised.</w:t>
      </w:r>
    </w:p>
    <w:p>
      <w:pPr>
        <w:spacing w:after="0"/>
        <w:sectPr>
          <w:type w:val="continuous"/>
          <w:pgSz w:w="11910" w:h="16840"/>
          <w:pgMar w:top="1300" w:bottom="940" w:left="1500" w:right="1480"/>
        </w:sectPr>
      </w:pPr>
    </w:p>
    <w:p>
      <w:pPr>
        <w:pStyle w:val="Heading2"/>
      </w:pPr>
      <w:r>
        <w:rPr/>
        <w:t>Lecture 6 Fluorescence Spectroscopy-I</w:t>
      </w:r>
    </w:p>
    <w:p>
      <w:pPr>
        <w:pStyle w:val="BodyText"/>
        <w:spacing w:before="10"/>
        <w:rPr>
          <w:b/>
          <w:sz w:val="32"/>
        </w:rPr>
      </w:pPr>
    </w:p>
    <w:p>
      <w:pPr>
        <w:pStyle w:val="BodyText"/>
        <w:spacing w:line="360" w:lineRule="auto" w:before="1"/>
        <w:ind w:left="300" w:right="315"/>
        <w:jc w:val="both"/>
      </w:pPr>
      <w:r>
        <w:rPr/>
        <w:t>This lecture is a very concise review of the phenomenon of fluorescence and the associated processes. Let us move a step forward from the absorption of the UV/visible radiation. What happens to the electrons that absorb UV/visible light and occupy the high energy molecular orbitals? </w:t>
      </w:r>
      <w:r>
        <w:rPr>
          <w:spacing w:val="-3"/>
        </w:rPr>
        <w:t>In </w:t>
      </w:r>
      <w:r>
        <w:rPr/>
        <w:t>a  UV/visible absorption experiment, the samples continue absorbing light. This means that the higher energy molecular orbitals never get saturated. This further implies that after excitation, the molecules somehow get rid of the excess energy and return back to the ground state. The electrons can return back to the ground state in different ways such as releasing the excess energy through collisions or through emitting a photon. In fluorescence, the molecules return back to the ground state by emitting a photon. The molecules that show fluorescence are usually referred to as the </w:t>
      </w:r>
      <w:r>
        <w:rPr>
          <w:i/>
        </w:rPr>
        <w:t>fluorophores</w:t>
      </w:r>
      <w:r>
        <w:rPr/>
        <w:t>. Various electronic and molecular processes that occur following excitation are usually represented on a Jablonski diagram as shown in Figure</w:t>
      </w:r>
      <w:r>
        <w:rPr>
          <w:spacing w:val="-2"/>
        </w:rPr>
        <w:t> </w:t>
      </w:r>
      <w:r>
        <w:rPr/>
        <w:t>6.1.</w:t>
      </w:r>
    </w:p>
    <w:p>
      <w:pPr>
        <w:pStyle w:val="BodyText"/>
        <w:spacing w:before="9"/>
        <w:rPr>
          <w:sz w:val="14"/>
        </w:rPr>
      </w:pPr>
      <w:r>
        <w:rPr/>
        <w:drawing>
          <wp:anchor distT="0" distB="0" distL="0" distR="0" allowOverlap="1" layoutInCell="1" locked="0" behindDoc="0" simplePos="0" relativeHeight="70">
            <wp:simplePos x="0" y="0"/>
            <wp:positionH relativeFrom="page">
              <wp:posOffset>1438411</wp:posOffset>
            </wp:positionH>
            <wp:positionV relativeFrom="paragraph">
              <wp:posOffset>132962</wp:posOffset>
            </wp:positionV>
            <wp:extent cx="4805960" cy="3413760"/>
            <wp:effectExtent l="0" t="0" r="0" b="0"/>
            <wp:wrapTopAndBottom/>
            <wp:docPr id="63" name="image34.png" descr="Figure 6.1.tif"/>
            <wp:cNvGraphicFramePr>
              <a:graphicFrameLocks noChangeAspect="1"/>
            </wp:cNvGraphicFramePr>
            <a:graphic>
              <a:graphicData uri="http://schemas.openxmlformats.org/drawingml/2006/picture">
                <pic:pic>
                  <pic:nvPicPr>
                    <pic:cNvPr id="64" name="image34.png"/>
                    <pic:cNvPicPr/>
                  </pic:nvPicPr>
                  <pic:blipFill>
                    <a:blip r:embed="rId42" cstate="print"/>
                    <a:stretch>
                      <a:fillRect/>
                    </a:stretch>
                  </pic:blipFill>
                  <pic:spPr>
                    <a:xfrm>
                      <a:off x="0" y="0"/>
                      <a:ext cx="4805960" cy="3413760"/>
                    </a:xfrm>
                    <a:prstGeom prst="rect">
                      <a:avLst/>
                    </a:prstGeom>
                  </pic:spPr>
                </pic:pic>
              </a:graphicData>
            </a:graphic>
          </wp:anchor>
        </w:drawing>
      </w:r>
    </w:p>
    <w:p>
      <w:pPr>
        <w:pStyle w:val="BodyText"/>
        <w:spacing w:before="9"/>
        <w:rPr>
          <w:sz w:val="27"/>
        </w:rPr>
      </w:pPr>
    </w:p>
    <w:p>
      <w:pPr>
        <w:spacing w:before="0"/>
        <w:ind w:left="986" w:right="0" w:firstLine="0"/>
        <w:jc w:val="left"/>
        <w:rPr>
          <w:b/>
          <w:sz w:val="16"/>
        </w:rPr>
      </w:pPr>
      <w:r>
        <w:rPr>
          <w:b/>
          <w:sz w:val="16"/>
        </w:rPr>
        <w:t>Figure 6.1 Jablonski diagram showing various processes following absorption of light by the fluorophore</w:t>
      </w:r>
    </w:p>
    <w:p>
      <w:pPr>
        <w:spacing w:after="0"/>
        <w:jc w:val="left"/>
        <w:rPr>
          <w:sz w:val="16"/>
        </w:rPr>
        <w:sectPr>
          <w:pgSz w:w="11910" w:h="16840"/>
          <w:pgMar w:header="722" w:footer="748" w:top="1300" w:bottom="940" w:left="1500" w:right="1480"/>
        </w:sectPr>
      </w:pPr>
    </w:p>
    <w:p>
      <w:pPr>
        <w:pStyle w:val="BodyText"/>
        <w:spacing w:line="360" w:lineRule="auto" w:before="119"/>
        <w:ind w:left="299" w:right="316"/>
        <w:jc w:val="both"/>
      </w:pPr>
      <w:r>
        <w:rPr>
          <w:i/>
        </w:rPr>
        <w:t>S</w:t>
      </w:r>
      <w:r>
        <w:rPr>
          <w:i/>
          <w:vertAlign w:val="subscript"/>
        </w:rPr>
        <w:t>0</w:t>
      </w:r>
      <w:r>
        <w:rPr>
          <w:vertAlign w:val="baseline"/>
        </w:rPr>
        <w:t>, </w:t>
      </w:r>
      <w:r>
        <w:rPr>
          <w:i/>
          <w:vertAlign w:val="baseline"/>
        </w:rPr>
        <w:t>S</w:t>
      </w:r>
      <w:r>
        <w:rPr>
          <w:i/>
          <w:vertAlign w:val="subscript"/>
        </w:rPr>
        <w:t>1</w:t>
      </w:r>
      <w:r>
        <w:rPr>
          <w:vertAlign w:val="baseline"/>
        </w:rPr>
        <w:t>, and </w:t>
      </w:r>
      <w:r>
        <w:rPr>
          <w:i/>
          <w:vertAlign w:val="baseline"/>
        </w:rPr>
        <w:t>S</w:t>
      </w:r>
      <w:r>
        <w:rPr>
          <w:i/>
          <w:vertAlign w:val="subscript"/>
        </w:rPr>
        <w:t>2</w:t>
      </w:r>
      <w:r>
        <w:rPr>
          <w:i/>
          <w:vertAlign w:val="baseline"/>
        </w:rPr>
        <w:t> </w:t>
      </w:r>
      <w:r>
        <w:rPr>
          <w:vertAlign w:val="baseline"/>
        </w:rPr>
        <w:t>represent the singlet electronic states while the numbers 0, 1, 2 represent the vibrational energy levels associated with the electronic states. </w:t>
      </w:r>
      <w:r>
        <w:rPr>
          <w:i/>
          <w:vertAlign w:val="baseline"/>
        </w:rPr>
        <w:t>T</w:t>
      </w:r>
      <w:r>
        <w:rPr>
          <w:i/>
          <w:vertAlign w:val="subscript"/>
        </w:rPr>
        <w:t>1</w:t>
      </w:r>
      <w:r>
        <w:rPr>
          <w:i/>
          <w:vertAlign w:val="baseline"/>
        </w:rPr>
        <w:t> </w:t>
      </w:r>
      <w:r>
        <w:rPr>
          <w:vertAlign w:val="baseline"/>
        </w:rPr>
        <w:t>depicts the first triplet electronic state. Let us go through the processes shown in Figure 6.1:</w:t>
      </w:r>
    </w:p>
    <w:p>
      <w:pPr>
        <w:pStyle w:val="BodyText"/>
        <w:spacing w:line="360" w:lineRule="auto" w:before="201"/>
        <w:ind w:left="300" w:right="313" w:firstLine="720"/>
        <w:jc w:val="both"/>
      </w:pPr>
      <w:r>
        <w:rPr>
          <w:i/>
        </w:rPr>
        <w:t>Absorbance: </w:t>
      </w:r>
      <w:r>
        <w:rPr/>
        <w:t>S</w:t>
      </w:r>
      <w:r>
        <w:rPr>
          <w:vertAlign w:val="subscript"/>
        </w:rPr>
        <w:t>0</w:t>
      </w:r>
      <w:r>
        <w:rPr>
          <w:vertAlign w:val="baseline"/>
        </w:rPr>
        <w:t> state with 0</w:t>
      </w:r>
      <w:r>
        <w:rPr>
          <w:vertAlign w:val="superscript"/>
        </w:rPr>
        <w:t>th</w:t>
      </w:r>
      <w:r>
        <w:rPr>
          <w:vertAlign w:val="baseline"/>
        </w:rPr>
        <w:t> vibrational level is the state of lowest energy and therefore, the highest populated state. Absorption of a photon of resonant frequency usually results in the population of </w:t>
      </w:r>
      <w:r>
        <w:rPr>
          <w:i/>
          <w:vertAlign w:val="baseline"/>
        </w:rPr>
        <w:t>S</w:t>
      </w:r>
      <w:r>
        <w:rPr>
          <w:i/>
          <w:vertAlign w:val="subscript"/>
        </w:rPr>
        <w:t>1</w:t>
      </w:r>
      <w:r>
        <w:rPr>
          <w:i/>
          <w:vertAlign w:val="baseline"/>
        </w:rPr>
        <w:t> </w:t>
      </w:r>
      <w:r>
        <w:rPr>
          <w:vertAlign w:val="baseline"/>
        </w:rPr>
        <w:t>or </w:t>
      </w:r>
      <w:r>
        <w:rPr>
          <w:i/>
          <w:vertAlign w:val="baseline"/>
        </w:rPr>
        <w:t>S</w:t>
      </w:r>
      <w:r>
        <w:rPr>
          <w:i/>
          <w:vertAlign w:val="subscript"/>
        </w:rPr>
        <w:t>2</w:t>
      </w:r>
      <w:r>
        <w:rPr>
          <w:i/>
          <w:vertAlign w:val="baseline"/>
        </w:rPr>
        <w:t> </w:t>
      </w:r>
      <w:r>
        <w:rPr>
          <w:vertAlign w:val="baseline"/>
        </w:rPr>
        <w:t>electronic states; but usually a higher vibrational state. Transition of electrons from low energy molecular orbital to a high energy molecular orbital through absorption of light is a femtosecond (10</w:t>
      </w:r>
      <w:r>
        <w:rPr>
          <w:vertAlign w:val="superscript"/>
        </w:rPr>
        <w:t>-15</w:t>
      </w:r>
      <w:r>
        <w:rPr>
          <w:vertAlign w:val="baseline"/>
        </w:rPr>
        <w:t> s) phenomenon. The electronic transition, therefore, is too quick to allow any significant displacement of the nuclei during transition.</w:t>
      </w:r>
    </w:p>
    <w:p>
      <w:pPr>
        <w:pStyle w:val="BodyText"/>
        <w:spacing w:line="360" w:lineRule="auto" w:before="200"/>
        <w:ind w:left="300" w:right="314" w:firstLine="720"/>
        <w:jc w:val="both"/>
      </w:pPr>
      <w:r>
        <w:rPr>
          <w:i/>
        </w:rPr>
        <w:t>Internal conversion: </w:t>
      </w:r>
      <w:r>
        <w:rPr/>
        <w:t>Apart from few exceptions, the excited fluorophores rapidly relax to the lowest vibrational state of S</w:t>
      </w:r>
      <w:r>
        <w:rPr>
          <w:vertAlign w:val="subscript"/>
        </w:rPr>
        <w:t>1</w:t>
      </w:r>
      <w:r>
        <w:rPr>
          <w:vertAlign w:val="baseline"/>
        </w:rPr>
        <w:t> through non-radiative processes. Non-radiative electronic transition from higher energy singlet states to </w:t>
      </w:r>
      <w:r>
        <w:rPr>
          <w:i/>
          <w:vertAlign w:val="baseline"/>
        </w:rPr>
        <w:t>S</w:t>
      </w:r>
      <w:r>
        <w:rPr>
          <w:i/>
          <w:vertAlign w:val="subscript"/>
        </w:rPr>
        <w:t>1</w:t>
      </w:r>
      <w:r>
        <w:rPr>
          <w:i/>
          <w:vertAlign w:val="baseline"/>
        </w:rPr>
        <w:t> </w:t>
      </w:r>
      <w:r>
        <w:rPr>
          <w:vertAlign w:val="baseline"/>
        </w:rPr>
        <w:t>is termed as </w:t>
      </w:r>
      <w:r>
        <w:rPr>
          <w:i/>
          <w:vertAlign w:val="baseline"/>
        </w:rPr>
        <w:t>internal conversion </w:t>
      </w:r>
      <w:r>
        <w:rPr>
          <w:vertAlign w:val="baseline"/>
        </w:rPr>
        <w:t>while relaxation of a fluorophore from a higher vibrational level of </w:t>
      </w:r>
      <w:r>
        <w:rPr>
          <w:i/>
          <w:vertAlign w:val="baseline"/>
        </w:rPr>
        <w:t>S</w:t>
      </w:r>
      <w:r>
        <w:rPr>
          <w:i/>
          <w:vertAlign w:val="subscript"/>
        </w:rPr>
        <w:t>1</w:t>
      </w:r>
      <w:r>
        <w:rPr>
          <w:i/>
          <w:vertAlign w:val="baseline"/>
        </w:rPr>
        <w:t> </w:t>
      </w:r>
      <w:r>
        <w:rPr>
          <w:vertAlign w:val="baseline"/>
        </w:rPr>
        <w:t>to the lowest vibration state is termed as </w:t>
      </w:r>
      <w:r>
        <w:rPr>
          <w:i/>
          <w:vertAlign w:val="baseline"/>
        </w:rPr>
        <w:t>vibrational relaxation</w:t>
      </w:r>
      <w:r>
        <w:rPr>
          <w:vertAlign w:val="baseline"/>
        </w:rPr>
        <w:t>. The terms ‘internal conversion’ and ‘vibrational relaxation’, however, are often interchangeably used. The timescale of internal conversion/vibrational relaxation is of the order of 10</w:t>
      </w:r>
      <w:r>
        <w:rPr>
          <w:vertAlign w:val="superscript"/>
        </w:rPr>
        <w:t>-</w:t>
      </w:r>
      <w:r>
        <w:rPr>
          <w:vertAlign w:val="baseline"/>
        </w:rPr>
        <w:t> </w:t>
      </w:r>
      <w:r>
        <w:rPr>
          <w:vertAlign w:val="superscript"/>
        </w:rPr>
        <w:t>12</w:t>
      </w:r>
      <w:r>
        <w:rPr>
          <w:vertAlign w:val="baseline"/>
        </w:rPr>
        <w:t> seconds.</w:t>
      </w:r>
    </w:p>
    <w:p>
      <w:pPr>
        <w:pStyle w:val="BodyText"/>
        <w:spacing w:line="360" w:lineRule="auto" w:before="200"/>
        <w:ind w:left="300" w:right="315" w:firstLine="720"/>
        <w:jc w:val="both"/>
      </w:pPr>
      <w:r>
        <w:rPr>
          <w:i/>
        </w:rPr>
        <w:t>Fluorescence: </w:t>
      </w:r>
      <w:r>
        <w:rPr/>
        <w:t>Fluorescence lifetimes are of the order of 10</w:t>
      </w:r>
      <w:r>
        <w:rPr>
          <w:vertAlign w:val="superscript"/>
        </w:rPr>
        <w:t>-8</w:t>
      </w:r>
      <w:r>
        <w:rPr>
          <w:vertAlign w:val="baseline"/>
        </w:rPr>
        <w:t> seconds, implying that the internal conversion is mostly complete before fluorescence is observed. Therefore, fluorescence emission is the outcome of fluorophore returning back to the </w:t>
      </w:r>
      <w:r>
        <w:rPr>
          <w:i/>
          <w:vertAlign w:val="baseline"/>
        </w:rPr>
        <w:t>S</w:t>
      </w:r>
      <w:r>
        <w:rPr>
          <w:i/>
          <w:vertAlign w:val="subscript"/>
        </w:rPr>
        <w:t>0</w:t>
      </w:r>
      <w:r>
        <w:rPr>
          <w:i/>
          <w:vertAlign w:val="baseline"/>
        </w:rPr>
        <w:t> </w:t>
      </w:r>
      <w:r>
        <w:rPr>
          <w:vertAlign w:val="baseline"/>
        </w:rPr>
        <w:t>state through </w:t>
      </w:r>
      <w:r>
        <w:rPr>
          <w:i/>
          <w:vertAlign w:val="baseline"/>
        </w:rPr>
        <w:t>S</w:t>
      </w:r>
      <w:r>
        <w:rPr>
          <w:i/>
          <w:vertAlign w:val="subscript"/>
        </w:rPr>
        <w:t>1</w:t>
      </w:r>
      <w:r>
        <w:rPr>
          <w:i/>
          <w:vertAlign w:val="baseline"/>
        </w:rPr>
        <w:t> → S</w:t>
      </w:r>
      <w:r>
        <w:rPr>
          <w:i/>
          <w:vertAlign w:val="subscript"/>
        </w:rPr>
        <w:t>0</w:t>
      </w:r>
      <w:r>
        <w:rPr>
          <w:i/>
          <w:vertAlign w:val="baseline"/>
        </w:rPr>
        <w:t> </w:t>
      </w:r>
      <w:r>
        <w:rPr>
          <w:vertAlign w:val="baseline"/>
        </w:rPr>
        <w:t>transition emitting a photon. This also explains why emission spectra are usually independent of the excitation wavelength, also known as Kasha’s rule (However, there are exceptions wherein fluorescence is observed from </w:t>
      </w:r>
      <w:r>
        <w:rPr>
          <w:i/>
          <w:vertAlign w:val="baseline"/>
        </w:rPr>
        <w:t>S</w:t>
      </w:r>
      <w:r>
        <w:rPr>
          <w:i/>
          <w:vertAlign w:val="subscript"/>
        </w:rPr>
        <w:t>2</w:t>
      </w:r>
      <w:r>
        <w:rPr>
          <w:i/>
          <w:vertAlign w:val="baseline"/>
        </w:rPr>
        <w:t> → S</w:t>
      </w:r>
      <w:r>
        <w:rPr>
          <w:i/>
          <w:vertAlign w:val="subscript"/>
        </w:rPr>
        <w:t>1</w:t>
      </w:r>
      <w:r>
        <w:rPr>
          <w:i/>
          <w:vertAlign w:val="baseline"/>
        </w:rPr>
        <w:t> </w:t>
      </w:r>
      <w:r>
        <w:rPr>
          <w:vertAlign w:val="baseline"/>
        </w:rPr>
        <w:t>transition). The </w:t>
      </w:r>
      <w:r>
        <w:rPr>
          <w:i/>
          <w:vertAlign w:val="baseline"/>
        </w:rPr>
        <w:t>S</w:t>
      </w:r>
      <w:r>
        <w:rPr>
          <w:i/>
          <w:vertAlign w:val="subscript"/>
        </w:rPr>
        <w:t>1</w:t>
      </w:r>
      <w:r>
        <w:rPr>
          <w:i/>
          <w:vertAlign w:val="baseline"/>
        </w:rPr>
        <w:t> → S</w:t>
      </w:r>
      <w:r>
        <w:rPr>
          <w:i/>
          <w:vertAlign w:val="subscript"/>
        </w:rPr>
        <w:t>0</w:t>
      </w:r>
      <w:r>
        <w:rPr>
          <w:i/>
          <w:vertAlign w:val="baseline"/>
        </w:rPr>
        <w:t> </w:t>
      </w:r>
      <w:r>
        <w:rPr>
          <w:vertAlign w:val="baseline"/>
        </w:rPr>
        <w:t>transition, like </w:t>
      </w:r>
      <w:r>
        <w:rPr>
          <w:i/>
          <w:vertAlign w:val="baseline"/>
        </w:rPr>
        <w:t>S</w:t>
      </w:r>
      <w:r>
        <w:rPr>
          <w:i/>
          <w:vertAlign w:val="subscript"/>
        </w:rPr>
        <w:t>0</w:t>
      </w:r>
      <w:r>
        <w:rPr>
          <w:i/>
          <w:vertAlign w:val="baseline"/>
        </w:rPr>
        <w:t> → S</w:t>
      </w:r>
      <w:r>
        <w:rPr>
          <w:i/>
          <w:vertAlign w:val="subscript"/>
        </w:rPr>
        <w:t>1</w:t>
      </w:r>
      <w:r>
        <w:rPr>
          <w:i/>
          <w:vertAlign w:val="baseline"/>
        </w:rPr>
        <w:t> </w:t>
      </w:r>
      <w:r>
        <w:rPr>
          <w:vertAlign w:val="baseline"/>
        </w:rPr>
        <w:t>transition, typically results in the population of higher energy vibrational states. The molecules then return back to the lowest vibrational state through vibrational</w:t>
      </w:r>
      <w:r>
        <w:rPr>
          <w:spacing w:val="-8"/>
          <w:vertAlign w:val="baseline"/>
        </w:rPr>
        <w:t> </w:t>
      </w:r>
      <w:r>
        <w:rPr>
          <w:vertAlign w:val="baseline"/>
        </w:rPr>
        <w:t>relaxation.</w:t>
      </w:r>
    </w:p>
    <w:p>
      <w:pPr>
        <w:pStyle w:val="BodyText"/>
        <w:spacing w:line="360" w:lineRule="auto" w:before="198"/>
        <w:ind w:left="299" w:right="315" w:firstLine="720"/>
        <w:jc w:val="both"/>
      </w:pPr>
      <w:r>
        <w:rPr>
          <w:i/>
        </w:rPr>
        <w:t>Intersystem crossing: </w:t>
      </w:r>
      <w:r>
        <w:rPr/>
        <w:t>Intersystem crossing referes to an isoenergetic non- radiative transition between electronic states of different multiplicities. It is possible that a molecule in a vibrational state of </w:t>
      </w:r>
      <w:r>
        <w:rPr>
          <w:i/>
        </w:rPr>
        <w:t>S</w:t>
      </w:r>
      <w:r>
        <w:rPr>
          <w:i/>
          <w:vertAlign w:val="subscript"/>
        </w:rPr>
        <w:t>1</w:t>
      </w:r>
      <w:r>
        <w:rPr>
          <w:i/>
          <w:vertAlign w:val="baseline"/>
        </w:rPr>
        <w:t> </w:t>
      </w:r>
      <w:r>
        <w:rPr>
          <w:vertAlign w:val="baseline"/>
        </w:rPr>
        <w:t>can move to the isoenergetic vibrational state of </w:t>
      </w:r>
      <w:r>
        <w:rPr>
          <w:i/>
          <w:vertAlign w:val="baseline"/>
        </w:rPr>
        <w:t>T</w:t>
      </w:r>
      <w:r>
        <w:rPr>
          <w:i/>
          <w:vertAlign w:val="subscript"/>
        </w:rPr>
        <w:t>1</w:t>
      </w:r>
      <w:r>
        <w:rPr>
          <w:vertAlign w:val="baseline"/>
        </w:rPr>
        <w:t>. The molecule then relaxes back to the lowest vibrational state of the triplet state.</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4" w:firstLine="720"/>
        <w:jc w:val="both"/>
      </w:pPr>
      <w:r>
        <w:rPr>
          <w:i/>
        </w:rPr>
        <w:t>Phosphorescence: </w:t>
      </w:r>
      <w:r>
        <w:rPr/>
        <w:t>The molecule in the triplet state, T</w:t>
      </w:r>
      <w:r>
        <w:rPr>
          <w:vertAlign w:val="subscript"/>
        </w:rPr>
        <w:t>1</w:t>
      </w:r>
      <w:r>
        <w:rPr>
          <w:vertAlign w:val="baseline"/>
        </w:rPr>
        <w:t>, can return back to the </w:t>
      </w:r>
      <w:r>
        <w:rPr>
          <w:i/>
          <w:vertAlign w:val="baseline"/>
        </w:rPr>
        <w:t>S</w:t>
      </w:r>
      <w:r>
        <w:rPr>
          <w:i/>
          <w:vertAlign w:val="subscript"/>
        </w:rPr>
        <w:t>0</w:t>
      </w:r>
      <w:r>
        <w:rPr>
          <w:i/>
          <w:vertAlign w:val="baseline"/>
        </w:rPr>
        <w:t> </w:t>
      </w:r>
      <w:r>
        <w:rPr>
          <w:vertAlign w:val="baseline"/>
        </w:rPr>
        <w:t>state emitting a photon. This process is known as phosphorescence and has time scales of several orders of magnitudes higher than that of fluorescence (10</w:t>
      </w:r>
      <w:r>
        <w:rPr>
          <w:vertAlign w:val="superscript"/>
        </w:rPr>
        <w:t>-3</w:t>
      </w:r>
      <w:r>
        <w:rPr>
          <w:vertAlign w:val="baseline"/>
        </w:rPr>
        <w:t> – 10 s).</w:t>
      </w:r>
    </w:p>
    <w:p>
      <w:pPr>
        <w:pStyle w:val="Heading4"/>
        <w:spacing w:before="206"/>
      </w:pPr>
      <w:r>
        <w:rPr/>
        <w:t>Characteristics of fluorescence:</w:t>
      </w:r>
    </w:p>
    <w:p>
      <w:pPr>
        <w:pStyle w:val="BodyText"/>
        <w:rPr>
          <w:b/>
          <w:sz w:val="29"/>
        </w:rPr>
      </w:pPr>
    </w:p>
    <w:p>
      <w:pPr>
        <w:pStyle w:val="BodyText"/>
        <w:spacing w:line="360" w:lineRule="auto"/>
        <w:ind w:left="300" w:right="316"/>
        <w:jc w:val="both"/>
      </w:pPr>
      <w:r>
        <w:rPr/>
        <w:t>Figure 6.2 shows absorption and fluorescence emission spectrum of a hypothetical fluorophore. The important characteristics of the fluorescence emission can be briefly summarized as follows:</w:t>
      </w:r>
    </w:p>
    <w:p>
      <w:pPr>
        <w:pStyle w:val="BodyText"/>
        <w:spacing w:before="2"/>
        <w:rPr>
          <w:sz w:val="19"/>
        </w:rPr>
      </w:pPr>
      <w:r>
        <w:rPr/>
        <w:drawing>
          <wp:anchor distT="0" distB="0" distL="0" distR="0" allowOverlap="1" layoutInCell="1" locked="0" behindDoc="0" simplePos="0" relativeHeight="71">
            <wp:simplePos x="0" y="0"/>
            <wp:positionH relativeFrom="page">
              <wp:posOffset>1406034</wp:posOffset>
            </wp:positionH>
            <wp:positionV relativeFrom="paragraph">
              <wp:posOffset>165390</wp:posOffset>
            </wp:positionV>
            <wp:extent cx="4908523" cy="3080385"/>
            <wp:effectExtent l="0" t="0" r="0" b="0"/>
            <wp:wrapTopAndBottom/>
            <wp:docPr id="65" name="image35.jpeg" descr="Figure 6.2.TIF"/>
            <wp:cNvGraphicFramePr>
              <a:graphicFrameLocks noChangeAspect="1"/>
            </wp:cNvGraphicFramePr>
            <a:graphic>
              <a:graphicData uri="http://schemas.openxmlformats.org/drawingml/2006/picture">
                <pic:pic>
                  <pic:nvPicPr>
                    <pic:cNvPr id="66" name="image35.jpeg"/>
                    <pic:cNvPicPr/>
                  </pic:nvPicPr>
                  <pic:blipFill>
                    <a:blip r:embed="rId43" cstate="print"/>
                    <a:stretch>
                      <a:fillRect/>
                    </a:stretch>
                  </pic:blipFill>
                  <pic:spPr>
                    <a:xfrm>
                      <a:off x="0" y="0"/>
                      <a:ext cx="4908523" cy="3080385"/>
                    </a:xfrm>
                    <a:prstGeom prst="rect">
                      <a:avLst/>
                    </a:prstGeom>
                  </pic:spPr>
                </pic:pic>
              </a:graphicData>
            </a:graphic>
          </wp:anchor>
        </w:drawing>
      </w:r>
    </w:p>
    <w:p>
      <w:pPr>
        <w:pStyle w:val="BodyText"/>
        <w:spacing w:before="7"/>
        <w:rPr>
          <w:sz w:val="26"/>
        </w:rPr>
      </w:pPr>
    </w:p>
    <w:p>
      <w:pPr>
        <w:spacing w:before="1"/>
        <w:ind w:left="795" w:right="617" w:firstLine="0"/>
        <w:jc w:val="center"/>
        <w:rPr>
          <w:b/>
          <w:sz w:val="16"/>
        </w:rPr>
      </w:pPr>
      <w:r>
        <w:rPr>
          <w:b/>
          <w:sz w:val="16"/>
        </w:rPr>
        <w:t>Figure 6.2 Absorption and fluorescence emission spectrum of a hypothetical fluorophore</w:t>
      </w:r>
    </w:p>
    <w:p>
      <w:pPr>
        <w:pStyle w:val="BodyText"/>
        <w:spacing w:before="10"/>
        <w:rPr>
          <w:b/>
        </w:rPr>
      </w:pPr>
    </w:p>
    <w:p>
      <w:pPr>
        <w:pStyle w:val="BodyText"/>
        <w:spacing w:line="360" w:lineRule="auto"/>
        <w:ind w:left="300" w:right="316"/>
        <w:jc w:val="both"/>
      </w:pPr>
      <w:r>
        <w:rPr>
          <w:i/>
        </w:rPr>
        <w:t>Stokes shift: </w:t>
      </w:r>
      <w:r>
        <w:rPr/>
        <w:t>A fluorescence emission spectrum is always shifted towards longer wavelengths with respect to the absorption spectrum. This shift is known as </w:t>
      </w:r>
      <w:r>
        <w:rPr>
          <w:i/>
        </w:rPr>
        <w:t>Stokes </w:t>
      </w:r>
      <w:r>
        <w:rPr>
          <w:i/>
        </w:rPr>
        <w:t>shift </w:t>
      </w:r>
      <w:r>
        <w:rPr/>
        <w:t>and is expected as excited molecules lose energy through processes like internal conversion and vibrational relaxation. The emitted radiation is therefore expected to be of lower energy </w:t>
      </w:r>
      <w:r>
        <w:rPr>
          <w:i/>
        </w:rPr>
        <w:t>i.e. </w:t>
      </w:r>
      <w:r>
        <w:rPr/>
        <w:t>higher</w:t>
      </w:r>
      <w:r>
        <w:rPr>
          <w:spacing w:val="-8"/>
        </w:rPr>
        <w:t> </w:t>
      </w:r>
      <w:r>
        <w:rPr/>
        <w:t>wavelength.</w:t>
      </w:r>
    </w:p>
    <w:p>
      <w:pPr>
        <w:pStyle w:val="BodyText"/>
        <w:spacing w:line="360" w:lineRule="auto" w:before="200"/>
        <w:ind w:left="300" w:right="316"/>
        <w:jc w:val="both"/>
      </w:pPr>
      <w:r>
        <w:rPr>
          <w:i/>
        </w:rPr>
        <w:t>Kasha’s rule: </w:t>
      </w:r>
      <w:r>
        <w:rPr/>
        <w:t>As fluorescence emission is observed from </w:t>
      </w:r>
      <w:r>
        <w:rPr>
          <w:i/>
        </w:rPr>
        <w:t>S</w:t>
      </w:r>
      <w:r>
        <w:rPr>
          <w:i/>
          <w:vertAlign w:val="subscript"/>
        </w:rPr>
        <w:t>1</w:t>
      </w:r>
      <w:r>
        <w:rPr>
          <w:i/>
          <w:vertAlign w:val="baseline"/>
        </w:rPr>
        <w:t> → S</w:t>
      </w:r>
      <w:r>
        <w:rPr>
          <w:i/>
          <w:vertAlign w:val="subscript"/>
        </w:rPr>
        <w:t>0</w:t>
      </w:r>
      <w:r>
        <w:rPr>
          <w:i/>
          <w:vertAlign w:val="baseline"/>
        </w:rPr>
        <w:t> </w:t>
      </w:r>
      <w:r>
        <w:rPr>
          <w:vertAlign w:val="baseline"/>
        </w:rPr>
        <w:t>transtions (except a few exceptions), fluorescence absorption spectrum is independent of the excitation wavelength.</w:t>
      </w:r>
    </w:p>
    <w:p>
      <w:pPr>
        <w:spacing w:after="0" w:line="360" w:lineRule="auto"/>
        <w:jc w:val="both"/>
        <w:sectPr>
          <w:pgSz w:w="11910" w:h="16840"/>
          <w:pgMar w:header="722" w:footer="748" w:top="1300" w:bottom="940" w:left="1500" w:right="1480"/>
        </w:sectPr>
      </w:pPr>
    </w:p>
    <w:p>
      <w:pPr>
        <w:pStyle w:val="BodyText"/>
        <w:spacing w:line="360" w:lineRule="auto" w:before="119"/>
        <w:ind w:left="299" w:right="315"/>
        <w:jc w:val="both"/>
      </w:pPr>
      <w:r>
        <w:rPr>
          <w:i/>
        </w:rPr>
        <w:t>Franck-Condon principle: </w:t>
      </w:r>
      <w:r>
        <w:rPr/>
        <w:t>The Franck-Condon principle states that the positions of the nuclei do not change during electronic transitions. The transitions are said to be vertical. This implies that if the probability of </w:t>
      </w:r>
      <w:r>
        <w:rPr>
          <w:i/>
        </w:rPr>
        <w:t>0</w:t>
      </w:r>
      <w:r>
        <w:rPr>
          <w:i/>
          <w:vertAlign w:val="superscript"/>
        </w:rPr>
        <w:t>th</w:t>
      </w:r>
      <w:r>
        <w:rPr>
          <w:i/>
          <w:vertAlign w:val="baseline"/>
        </w:rPr>
        <w:t> → 2</w:t>
      </w:r>
      <w:r>
        <w:rPr>
          <w:i/>
          <w:vertAlign w:val="superscript"/>
        </w:rPr>
        <w:t>nd</w:t>
      </w:r>
      <w:r>
        <w:rPr>
          <w:i/>
          <w:vertAlign w:val="baseline"/>
        </w:rPr>
        <w:t> </w:t>
      </w:r>
      <w:r>
        <w:rPr>
          <w:vertAlign w:val="baseline"/>
        </w:rPr>
        <w:t>vibrational transition </w:t>
      </w:r>
      <w:r>
        <w:rPr>
          <w:spacing w:val="-3"/>
          <w:vertAlign w:val="baseline"/>
        </w:rPr>
        <w:t>during </w:t>
      </w:r>
      <w:r>
        <w:rPr>
          <w:i/>
          <w:vertAlign w:val="baseline"/>
        </w:rPr>
        <w:t>S</w:t>
      </w:r>
      <w:r>
        <w:rPr>
          <w:i/>
          <w:vertAlign w:val="subscript"/>
        </w:rPr>
        <w:t>0</w:t>
      </w:r>
      <w:r>
        <w:rPr>
          <w:i/>
          <w:vertAlign w:val="baseline"/>
        </w:rPr>
        <w:t> → S</w:t>
      </w:r>
      <w:r>
        <w:rPr>
          <w:i/>
          <w:vertAlign w:val="subscript"/>
        </w:rPr>
        <w:t>1</w:t>
      </w:r>
      <w:r>
        <w:rPr>
          <w:i/>
          <w:vertAlign w:val="baseline"/>
        </w:rPr>
        <w:t> </w:t>
      </w:r>
      <w:r>
        <w:rPr>
          <w:vertAlign w:val="baseline"/>
        </w:rPr>
        <w:t>transition is highest, the </w:t>
      </w:r>
      <w:r>
        <w:rPr>
          <w:i/>
          <w:vertAlign w:val="baseline"/>
        </w:rPr>
        <w:t>2</w:t>
      </w:r>
      <w:r>
        <w:rPr>
          <w:i/>
          <w:vertAlign w:val="superscript"/>
        </w:rPr>
        <w:t>nd</w:t>
      </w:r>
      <w:r>
        <w:rPr>
          <w:i/>
          <w:vertAlign w:val="baseline"/>
        </w:rPr>
        <w:t> → 0</w:t>
      </w:r>
      <w:r>
        <w:rPr>
          <w:i/>
          <w:vertAlign w:val="superscript"/>
        </w:rPr>
        <w:t>th</w:t>
      </w:r>
      <w:r>
        <w:rPr>
          <w:i/>
          <w:vertAlign w:val="baseline"/>
        </w:rPr>
        <w:t> </w:t>
      </w:r>
      <w:r>
        <w:rPr>
          <w:vertAlign w:val="baseline"/>
        </w:rPr>
        <w:t>transition will be most probable in the reciprocal transition (Figure</w:t>
      </w:r>
      <w:r>
        <w:rPr>
          <w:spacing w:val="-2"/>
          <w:vertAlign w:val="baseline"/>
        </w:rPr>
        <w:t> </w:t>
      </w:r>
      <w:r>
        <w:rPr>
          <w:vertAlign w:val="baseline"/>
        </w:rPr>
        <w:t>6.3).</w:t>
      </w:r>
    </w:p>
    <w:p>
      <w:pPr>
        <w:pStyle w:val="BodyText"/>
        <w:spacing w:before="11"/>
        <w:rPr>
          <w:sz w:val="15"/>
        </w:rPr>
      </w:pPr>
      <w:r>
        <w:rPr/>
        <w:drawing>
          <wp:anchor distT="0" distB="0" distL="0" distR="0" allowOverlap="1" layoutInCell="1" locked="0" behindDoc="0" simplePos="0" relativeHeight="72">
            <wp:simplePos x="0" y="0"/>
            <wp:positionH relativeFrom="page">
              <wp:posOffset>2173427</wp:posOffset>
            </wp:positionH>
            <wp:positionV relativeFrom="paragraph">
              <wp:posOffset>141388</wp:posOffset>
            </wp:positionV>
            <wp:extent cx="3354065" cy="4308348"/>
            <wp:effectExtent l="0" t="0" r="0" b="0"/>
            <wp:wrapTopAndBottom/>
            <wp:docPr id="67" name="image36.jpeg" descr="cropped franck condon.bmp"/>
            <wp:cNvGraphicFramePr>
              <a:graphicFrameLocks noChangeAspect="1"/>
            </wp:cNvGraphicFramePr>
            <a:graphic>
              <a:graphicData uri="http://schemas.openxmlformats.org/drawingml/2006/picture">
                <pic:pic>
                  <pic:nvPicPr>
                    <pic:cNvPr id="68" name="image36.jpeg"/>
                    <pic:cNvPicPr/>
                  </pic:nvPicPr>
                  <pic:blipFill>
                    <a:blip r:embed="rId44" cstate="print"/>
                    <a:stretch>
                      <a:fillRect/>
                    </a:stretch>
                  </pic:blipFill>
                  <pic:spPr>
                    <a:xfrm>
                      <a:off x="0" y="0"/>
                      <a:ext cx="3354065" cy="4308348"/>
                    </a:xfrm>
                    <a:prstGeom prst="rect">
                      <a:avLst/>
                    </a:prstGeom>
                  </pic:spPr>
                </pic:pic>
              </a:graphicData>
            </a:graphic>
          </wp:anchor>
        </w:drawing>
      </w:r>
    </w:p>
    <w:p>
      <w:pPr>
        <w:pStyle w:val="BodyText"/>
        <w:spacing w:before="11"/>
        <w:rPr>
          <w:sz w:val="22"/>
        </w:rPr>
      </w:pPr>
    </w:p>
    <w:p>
      <w:pPr>
        <w:spacing w:before="0"/>
        <w:ind w:left="795" w:right="617" w:firstLine="0"/>
        <w:jc w:val="center"/>
        <w:rPr>
          <w:b/>
          <w:sz w:val="16"/>
        </w:rPr>
      </w:pPr>
      <w:r>
        <w:rPr>
          <w:b/>
          <w:sz w:val="16"/>
        </w:rPr>
        <w:t>Figure 6.3 Potential energy diagrams showing the Franck-Condon principle</w:t>
      </w:r>
    </w:p>
    <w:p>
      <w:pPr>
        <w:pStyle w:val="BodyText"/>
        <w:spacing w:before="10"/>
        <w:rPr>
          <w:b/>
        </w:rPr>
      </w:pPr>
    </w:p>
    <w:p>
      <w:pPr>
        <w:pStyle w:val="BodyText"/>
        <w:spacing w:line="360" w:lineRule="auto"/>
        <w:ind w:left="300" w:right="315"/>
        <w:jc w:val="both"/>
      </w:pPr>
      <w:r>
        <w:rPr/>
        <w:t>This results in an emission spectrum that is a mirror image of the </w:t>
      </w:r>
      <w:r>
        <w:rPr>
          <w:i/>
        </w:rPr>
        <w:t>S</w:t>
      </w:r>
      <w:r>
        <w:rPr>
          <w:i/>
          <w:vertAlign w:val="subscript"/>
        </w:rPr>
        <w:t>0</w:t>
      </w:r>
      <w:r>
        <w:rPr>
          <w:i/>
          <w:vertAlign w:val="baseline"/>
        </w:rPr>
        <w:t> → S</w:t>
      </w:r>
      <w:r>
        <w:rPr>
          <w:i/>
          <w:vertAlign w:val="subscript"/>
        </w:rPr>
        <w:t>1</w:t>
      </w:r>
      <w:r>
        <w:rPr>
          <w:i/>
          <w:vertAlign w:val="baseline"/>
        </w:rPr>
        <w:t> </w:t>
      </w:r>
      <w:r>
        <w:rPr>
          <w:vertAlign w:val="baseline"/>
        </w:rPr>
        <w:t>transition in terms of the shape. There are several exceptions to the mirror image rule that arise largely due to the excited state reactions of the molecule.</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1"/>
      </w:pPr>
      <w:r>
        <w:rPr>
          <w:i/>
        </w:rPr>
        <w:t>Quantum yield: </w:t>
      </w:r>
      <w:r>
        <w:rPr/>
        <w:t>As has been mentioned earlier, an excited molecule can come back to the ground state through non-radiative pathways.</w:t>
      </w:r>
    </w:p>
    <w:p>
      <w:pPr>
        <w:pStyle w:val="BodyText"/>
        <w:tabs>
          <w:tab w:pos="7708" w:val="left" w:leader="none"/>
        </w:tabs>
        <w:ind w:left="2460"/>
      </w:pPr>
      <w:r>
        <w:rPr/>
        <w:t>Fluorescence</w:t>
        <w:tab/>
        <w:t>quantum,</w:t>
      </w:r>
    </w:p>
    <w:p>
      <w:pPr>
        <w:spacing w:after="0"/>
        <w:sectPr>
          <w:pgSz w:w="11910" w:h="16840"/>
          <w:pgMar w:header="722" w:footer="748" w:top="1300" w:bottom="940" w:left="1500" w:right="1480"/>
        </w:sectPr>
      </w:pPr>
    </w:p>
    <w:p>
      <w:pPr>
        <w:tabs>
          <w:tab w:pos="2498" w:val="left" w:leader="none"/>
        </w:tabs>
        <w:spacing w:line="170" w:lineRule="auto" w:before="176"/>
        <w:ind w:left="1740" w:right="0" w:firstLine="0"/>
        <w:jc w:val="left"/>
        <w:rPr>
          <w:rFonts w:ascii="Symbola" w:hAnsi="Symbola" w:eastAsia="Symbola"/>
          <w:sz w:val="20"/>
        </w:rPr>
      </w:pPr>
      <w:r>
        <w:rPr/>
        <w:pict>
          <v:rect style="position:absolute;margin-left:196.320007pt;margin-top:19.764023pt;width:144.72pt;height:.959pt;mso-position-horizontal-relative:page;mso-position-vertical-relative:paragraph;z-index:-18501632" filled="true" fillcolor="#000000" stroked="false">
            <v:fill type="solid"/>
            <w10:wrap type="none"/>
          </v:rect>
        </w:pict>
      </w:r>
      <w:r>
        <w:rPr>
          <w:rFonts w:ascii="Symbola" w:hAnsi="Symbola" w:eastAsia="Symbola"/>
          <w:w w:val="105"/>
          <w:position w:val="-16"/>
          <w:sz w:val="28"/>
        </w:rPr>
        <w:t>𝑄 </w:t>
      </w:r>
      <w:r>
        <w:rPr>
          <w:rFonts w:ascii="Symbola" w:hAnsi="Symbola" w:eastAsia="Symbola"/>
          <w:spacing w:val="1"/>
          <w:w w:val="105"/>
          <w:position w:val="-16"/>
          <w:sz w:val="28"/>
        </w:rPr>
        <w:t> </w:t>
      </w:r>
      <w:r>
        <w:rPr>
          <w:rFonts w:ascii="Symbola" w:hAnsi="Symbola" w:eastAsia="Symbola"/>
          <w:w w:val="105"/>
          <w:position w:val="-16"/>
          <w:sz w:val="28"/>
        </w:rPr>
        <w:t>=</w:t>
        <w:tab/>
      </w:r>
      <w:r>
        <w:rPr>
          <w:rFonts w:ascii="Symbola" w:hAnsi="Symbola" w:eastAsia="Symbola"/>
          <w:w w:val="105"/>
          <w:sz w:val="20"/>
        </w:rPr>
        <w:t>𝑛𝑢𝑚𝑏𝑒𝑟 𝑜𝑓 𝑝ℎ𝑜𝑡𝑜𝑛𝑠</w:t>
      </w:r>
      <w:r>
        <w:rPr>
          <w:rFonts w:ascii="Symbola" w:hAnsi="Symbola" w:eastAsia="Symbola"/>
          <w:spacing w:val="-18"/>
          <w:w w:val="105"/>
          <w:sz w:val="20"/>
        </w:rPr>
        <w:t> </w:t>
      </w:r>
      <w:r>
        <w:rPr>
          <w:rFonts w:ascii="Symbola" w:hAnsi="Symbola" w:eastAsia="Symbola"/>
          <w:w w:val="105"/>
          <w:sz w:val="20"/>
        </w:rPr>
        <w:t>𝑒𝑚𝑖𝑡𝑡𝑒𝑑</w:t>
      </w:r>
    </w:p>
    <w:p>
      <w:pPr>
        <w:spacing w:line="187" w:lineRule="exact" w:before="0"/>
        <w:ind w:left="2426" w:right="0" w:firstLine="0"/>
        <w:jc w:val="left"/>
        <w:rPr>
          <w:rFonts w:ascii="Symbola" w:hAnsi="Symbola" w:eastAsia="Symbola"/>
          <w:sz w:val="20"/>
        </w:rPr>
      </w:pPr>
      <w:r>
        <w:rPr>
          <w:rFonts w:ascii="Symbola" w:hAnsi="Symbola" w:eastAsia="Symbola"/>
          <w:w w:val="105"/>
          <w:sz w:val="20"/>
        </w:rPr>
        <w:t>𝑛𝑢𝑚𝑏𝑒𝑟 𝑜𝑓 𝑝ℎ𝑜𝑡𝑜𝑛𝑠 𝑎𝑏𝑠𝑜𝑟𝑏𝑒𝑑</w:t>
      </w:r>
    </w:p>
    <w:p>
      <w:pPr>
        <w:pStyle w:val="BodyText"/>
        <w:spacing w:before="160"/>
        <w:ind w:left="2460"/>
      </w:pPr>
      <w:r>
        <w:rPr/>
        <w:t>where,</w:t>
      </w:r>
    </w:p>
    <w:p>
      <w:pPr>
        <w:tabs>
          <w:tab w:pos="677" w:val="left" w:leader="none"/>
        </w:tabs>
        <w:spacing w:line="170" w:lineRule="auto" w:before="176"/>
        <w:ind w:left="46" w:right="0" w:firstLine="0"/>
        <w:jc w:val="left"/>
        <w:rPr>
          <w:rFonts w:ascii="Symbola" w:eastAsia="Symbola"/>
          <w:sz w:val="20"/>
        </w:rPr>
      </w:pPr>
      <w:r>
        <w:rPr/>
        <w:br w:type="column"/>
      </w:r>
      <w:r>
        <w:rPr>
          <w:rFonts w:ascii="Symbola" w:eastAsia="Symbola"/>
          <w:w w:val="105"/>
          <w:position w:val="-16"/>
          <w:sz w:val="28"/>
        </w:rPr>
        <w:t>=</w:t>
        <w:tab/>
      </w:r>
      <w:r>
        <w:rPr>
          <w:rFonts w:ascii="Symbola" w:eastAsia="Symbola"/>
          <w:w w:val="105"/>
          <w:sz w:val="20"/>
        </w:rPr>
        <w:t>𝛤</w:t>
      </w:r>
    </w:p>
    <w:p>
      <w:pPr>
        <w:spacing w:line="218" w:lineRule="exact" w:before="0"/>
        <w:ind w:left="394" w:right="0" w:firstLine="0"/>
        <w:jc w:val="left"/>
        <w:rPr>
          <w:rFonts w:ascii="Symbola" w:eastAsia="Symbola"/>
          <w:sz w:val="16"/>
        </w:rPr>
      </w:pPr>
      <w:r>
        <w:rPr/>
        <w:pict>
          <v:rect style="position:absolute;margin-left:362.279999pt;margin-top:-4.339259pt;width:34.8pt;height:.959pt;mso-position-horizontal-relative:page;mso-position-vertical-relative:paragraph;z-index:-18501120" filled="true" fillcolor="#000000" stroked="false">
            <v:fill type="solid"/>
            <w10:wrap type="none"/>
          </v:rect>
        </w:pict>
      </w:r>
      <w:r>
        <w:rPr>
          <w:rFonts w:ascii="Symbola" w:eastAsia="Symbola"/>
          <w:w w:val="105"/>
          <w:sz w:val="20"/>
        </w:rPr>
        <w:t>𝛤 + 𝑘</w:t>
      </w:r>
      <w:r>
        <w:rPr>
          <w:rFonts w:ascii="Symbola" w:eastAsia="Symbola"/>
          <w:w w:val="105"/>
          <w:position w:val="-3"/>
          <w:sz w:val="16"/>
        </w:rPr>
        <w:t>𝑛𝑟</w:t>
      </w:r>
    </w:p>
    <w:p>
      <w:pPr>
        <w:spacing w:after="0" w:line="218" w:lineRule="exact"/>
        <w:jc w:val="left"/>
        <w:rPr>
          <w:rFonts w:ascii="Symbola" w:eastAsia="Symbola"/>
          <w:sz w:val="16"/>
        </w:rPr>
        <w:sectPr>
          <w:type w:val="continuous"/>
          <w:pgSz w:w="11910" w:h="16840"/>
          <w:pgMar w:top="1300" w:bottom="940" w:left="1500" w:right="1480"/>
          <w:cols w:num="2" w:equalWidth="0">
            <w:col w:w="5312" w:space="40"/>
            <w:col w:w="3578"/>
          </w:cols>
        </w:sectPr>
      </w:pPr>
    </w:p>
    <w:p>
      <w:pPr>
        <w:pStyle w:val="BodyText"/>
        <w:spacing w:before="139"/>
        <w:ind w:left="3180"/>
        <w:jc w:val="both"/>
      </w:pPr>
      <w:r>
        <w:rPr>
          <w:i/>
        </w:rPr>
        <w:t>Γ </w:t>
      </w:r>
      <w:r>
        <w:rPr/>
        <w:t>is the rate of radiative process </w:t>
      </w:r>
      <w:r>
        <w:rPr>
          <w:i/>
        </w:rPr>
        <w:t>i.e. </w:t>
      </w:r>
      <w:r>
        <w:rPr/>
        <w:t>fluorescence</w:t>
      </w:r>
    </w:p>
    <w:p>
      <w:pPr>
        <w:pStyle w:val="BodyText"/>
        <w:spacing w:line="360" w:lineRule="auto" w:before="137"/>
        <w:ind w:left="2459" w:right="315" w:firstLine="720"/>
        <w:jc w:val="both"/>
      </w:pPr>
      <w:r>
        <w:rPr>
          <w:i/>
        </w:rPr>
        <w:t>k</w:t>
      </w:r>
      <w:r>
        <w:rPr>
          <w:i/>
          <w:vertAlign w:val="subscript"/>
        </w:rPr>
        <w:t>nr</w:t>
      </w:r>
      <w:r>
        <w:rPr>
          <w:i/>
          <w:vertAlign w:val="baseline"/>
        </w:rPr>
        <w:t> </w:t>
      </w:r>
      <w:r>
        <w:rPr>
          <w:vertAlign w:val="baseline"/>
        </w:rPr>
        <w:t>is the rate of all the non-radiative processes bringing molecule to the S</w:t>
      </w:r>
      <w:r>
        <w:rPr>
          <w:vertAlign w:val="subscript"/>
        </w:rPr>
        <w:t>0</w:t>
      </w:r>
      <w:r>
        <w:rPr>
          <w:vertAlign w:val="baseline"/>
        </w:rPr>
        <w:t> state</w:t>
      </w:r>
    </w:p>
    <w:p>
      <w:pPr>
        <w:pStyle w:val="BodyText"/>
        <w:spacing w:line="360" w:lineRule="auto" w:before="199"/>
        <w:ind w:left="300" w:right="318"/>
        <w:jc w:val="both"/>
      </w:pPr>
      <w:r>
        <w:rPr>
          <w:i/>
        </w:rPr>
        <w:t>Fluorescence lifetime: </w:t>
      </w:r>
      <w:r>
        <w:rPr/>
        <w:t>Lifetime of a fluorophore is defined as the average time it spends in the excited state before returning to the </w:t>
      </w:r>
      <w:r>
        <w:rPr>
          <w:i/>
        </w:rPr>
        <w:t>S</w:t>
      </w:r>
      <w:r>
        <w:rPr>
          <w:i/>
          <w:vertAlign w:val="subscript"/>
        </w:rPr>
        <w:t>0</w:t>
      </w:r>
      <w:r>
        <w:rPr>
          <w:i/>
          <w:vertAlign w:val="baseline"/>
        </w:rPr>
        <w:t> </w:t>
      </w:r>
      <w:r>
        <w:rPr>
          <w:vertAlign w:val="baseline"/>
        </w:rPr>
        <w:t>state. It is therefore the reciprocal of the rate of processes de-exciting the molecule.</w:t>
      </w:r>
    </w:p>
    <w:p>
      <w:pPr>
        <w:tabs>
          <w:tab w:pos="6943" w:val="left" w:leader="none"/>
        </w:tabs>
        <w:spacing w:line="247" w:lineRule="exact" w:before="112"/>
        <w:ind w:left="3900" w:right="0" w:firstLine="0"/>
        <w:jc w:val="left"/>
        <w:rPr>
          <w:rFonts w:ascii="Symbola" w:eastAsia="Symbola"/>
          <w:sz w:val="28"/>
        </w:rPr>
      </w:pPr>
      <w:r>
        <w:rPr/>
        <w:pict>
          <v:rect style="position:absolute;margin-left:407.640015pt;margin-top:12.363116pt;width:34.8pt;height:.96pt;mso-position-horizontal-relative:page;mso-position-vertical-relative:paragraph;z-index:-18500608" filled="true" fillcolor="#000000" stroked="false">
            <v:fill type="solid"/>
            <w10:wrap type="none"/>
          </v:rect>
        </w:pict>
      </w:r>
      <w:r>
        <w:rPr>
          <w:sz w:val="24"/>
        </w:rPr>
        <w:t>Fluorescence lifetime,</w:t>
      </w:r>
      <w:r>
        <w:rPr>
          <w:spacing w:val="-14"/>
          <w:sz w:val="24"/>
        </w:rPr>
        <w:t> </w:t>
      </w:r>
      <w:r>
        <w:rPr>
          <w:rFonts w:ascii="Symbola" w:eastAsia="Symbola"/>
          <w:sz w:val="28"/>
        </w:rPr>
        <w:t>𝜏</w:t>
      </w:r>
      <w:r>
        <w:rPr>
          <w:rFonts w:ascii="Symbola" w:eastAsia="Symbola"/>
          <w:spacing w:val="1"/>
          <w:sz w:val="28"/>
        </w:rPr>
        <w:t> </w:t>
      </w:r>
      <w:r>
        <w:rPr>
          <w:rFonts w:ascii="Symbola" w:eastAsia="Symbola"/>
          <w:sz w:val="28"/>
        </w:rPr>
        <w:t>=</w:t>
        <w:tab/>
      </w:r>
      <w:r>
        <w:rPr>
          <w:rFonts w:ascii="Symbola" w:eastAsia="Symbola"/>
          <w:sz w:val="28"/>
          <w:vertAlign w:val="superscript"/>
        </w:rPr>
        <w:t>1</w:t>
      </w:r>
    </w:p>
    <w:p>
      <w:pPr>
        <w:spacing w:line="180" w:lineRule="auto" w:before="0"/>
        <w:ind w:left="0" w:right="1582" w:firstLine="0"/>
        <w:jc w:val="right"/>
        <w:rPr>
          <w:rFonts w:ascii="Symbola" w:eastAsia="Symbola"/>
          <w:sz w:val="16"/>
        </w:rPr>
      </w:pPr>
      <w:r>
        <w:rPr>
          <w:rFonts w:ascii="Symbola" w:eastAsia="Symbola"/>
          <w:w w:val="105"/>
          <w:sz w:val="20"/>
        </w:rPr>
        <w:t>𝛤 + 𝑘</w:t>
      </w:r>
      <w:r>
        <w:rPr>
          <w:rFonts w:ascii="Symbola" w:eastAsia="Symbola"/>
          <w:w w:val="105"/>
          <w:position w:val="-3"/>
          <w:sz w:val="16"/>
        </w:rPr>
        <w:t>𝑛𝑟</w:t>
      </w:r>
    </w:p>
    <w:p>
      <w:pPr>
        <w:pStyle w:val="BodyText"/>
        <w:spacing w:before="2"/>
        <w:rPr>
          <w:rFonts w:ascii="Symbola"/>
          <w:sz w:val="25"/>
        </w:rPr>
      </w:pPr>
    </w:p>
    <w:p>
      <w:pPr>
        <w:pStyle w:val="Heading4"/>
        <w:spacing w:before="90"/>
      </w:pPr>
      <w:r>
        <w:rPr/>
        <w:t>Fluorescence quenching, resonance energy transfer and anisotropy</w:t>
      </w:r>
    </w:p>
    <w:p>
      <w:pPr>
        <w:pStyle w:val="BodyText"/>
        <w:rPr>
          <w:b/>
          <w:sz w:val="29"/>
        </w:rPr>
      </w:pPr>
    </w:p>
    <w:p>
      <w:pPr>
        <w:pStyle w:val="BodyText"/>
        <w:spacing w:line="360" w:lineRule="auto" w:before="1"/>
        <w:ind w:left="299" w:right="315"/>
        <w:jc w:val="both"/>
      </w:pPr>
      <w:r>
        <w:rPr/>
        <w:t>Fluorescence spectroscopy comprises of experiments exploiting various different phenomena related to it. Discussion of all these experiments is beyond the scope of this course, but we shall have a quick look at a few important phenomena related to fluorescence.</w:t>
      </w:r>
    </w:p>
    <w:p>
      <w:pPr>
        <w:pStyle w:val="BodyText"/>
        <w:spacing w:line="360" w:lineRule="auto" w:before="199"/>
        <w:ind w:left="299" w:right="317"/>
        <w:jc w:val="both"/>
      </w:pPr>
      <w:r>
        <w:rPr>
          <w:i/>
        </w:rPr>
        <w:t>Fluorescence quenching: </w:t>
      </w:r>
      <w:r>
        <w:rPr/>
        <w:t>A decrease in fluorescence intensity is referred to as quenching. A molecule that quenches the fluorescence of a fluorophore is called a quencher. A quencher can be either a collisional quencher or a static quencher. A collisional quencher brings about decrease in fluorescence intensity by de-exciting the excited fluorophore through collisions. Addition of another non-radiative process to the system leads to lower quantum yield. A static quencher forms a non-fluorescent complex with the fluorophore. It effectively leads to a decrease in the concentration of the fluorophore thereby decreasing the fluorescence emission intensity.</w:t>
      </w:r>
    </w:p>
    <w:p>
      <w:pPr>
        <w:spacing w:after="0" w:line="360" w:lineRule="auto"/>
        <w:jc w:val="both"/>
        <w:sectPr>
          <w:type w:val="continuous"/>
          <w:pgSz w:w="11910" w:h="16840"/>
          <w:pgMar w:top="1300" w:bottom="940" w:left="1500" w:right="1480"/>
        </w:sectPr>
      </w:pPr>
    </w:p>
    <w:p>
      <w:pPr>
        <w:pStyle w:val="BodyText"/>
        <w:spacing w:line="360" w:lineRule="auto" w:before="119"/>
        <w:ind w:left="299" w:right="318"/>
        <w:jc w:val="both"/>
      </w:pPr>
      <w:r>
        <w:rPr>
          <w:i/>
        </w:rPr>
        <w:t>Resonance energy transfer: </w:t>
      </w:r>
      <w:r>
        <w:rPr/>
        <w:t>Resonance energy transfer (RET), also known as fluorescence resonance energy transfer (FRET) is an excited state phenomeneon wherein energy is transferred from a donor molecule (</w:t>
      </w:r>
      <w:r>
        <w:rPr>
          <w:i/>
        </w:rPr>
        <w:t>D</w:t>
      </w:r>
      <w:r>
        <w:rPr/>
        <w:t>) to an acceptor molecule (</w:t>
      </w:r>
      <w:r>
        <w:rPr>
          <w:i/>
        </w:rPr>
        <w:t>A</w:t>
      </w:r>
      <w:r>
        <w:rPr/>
        <w:t>). The prerequisite for the energy transfer is that there should be an overlap between the emission spectrum of the </w:t>
      </w:r>
      <w:r>
        <w:rPr>
          <w:i/>
        </w:rPr>
        <w:t>D </w:t>
      </w:r>
      <w:r>
        <w:rPr/>
        <w:t>and the absorption spectrum of the </w:t>
      </w:r>
      <w:r>
        <w:rPr>
          <w:i/>
        </w:rPr>
        <w:t>A </w:t>
      </w:r>
      <w:r>
        <w:rPr/>
        <w:t>(Figure 6.4).</w:t>
      </w:r>
    </w:p>
    <w:p>
      <w:pPr>
        <w:pStyle w:val="BodyText"/>
        <w:spacing w:before="3"/>
        <w:rPr>
          <w:sz w:val="17"/>
        </w:rPr>
      </w:pPr>
      <w:r>
        <w:rPr/>
        <w:drawing>
          <wp:anchor distT="0" distB="0" distL="0" distR="0" allowOverlap="1" layoutInCell="1" locked="0" behindDoc="0" simplePos="0" relativeHeight="76">
            <wp:simplePos x="0" y="0"/>
            <wp:positionH relativeFrom="page">
              <wp:posOffset>1321558</wp:posOffset>
            </wp:positionH>
            <wp:positionV relativeFrom="paragraph">
              <wp:posOffset>151330</wp:posOffset>
            </wp:positionV>
            <wp:extent cx="5092786" cy="3023616"/>
            <wp:effectExtent l="0" t="0" r="0" b="0"/>
            <wp:wrapTopAndBottom/>
            <wp:docPr id="69" name="image37.jpeg" descr="Figure 6.4.tif"/>
            <wp:cNvGraphicFramePr>
              <a:graphicFrameLocks noChangeAspect="1"/>
            </wp:cNvGraphicFramePr>
            <a:graphic>
              <a:graphicData uri="http://schemas.openxmlformats.org/drawingml/2006/picture">
                <pic:pic>
                  <pic:nvPicPr>
                    <pic:cNvPr id="70" name="image37.jpeg"/>
                    <pic:cNvPicPr/>
                  </pic:nvPicPr>
                  <pic:blipFill>
                    <a:blip r:embed="rId45" cstate="print"/>
                    <a:stretch>
                      <a:fillRect/>
                    </a:stretch>
                  </pic:blipFill>
                  <pic:spPr>
                    <a:xfrm>
                      <a:off x="0" y="0"/>
                      <a:ext cx="5092786" cy="3023616"/>
                    </a:xfrm>
                    <a:prstGeom prst="rect">
                      <a:avLst/>
                    </a:prstGeom>
                  </pic:spPr>
                </pic:pic>
              </a:graphicData>
            </a:graphic>
          </wp:anchor>
        </w:drawing>
      </w:r>
    </w:p>
    <w:p>
      <w:pPr>
        <w:pStyle w:val="BodyText"/>
        <w:spacing w:before="6"/>
        <w:rPr>
          <w:sz w:val="25"/>
        </w:rPr>
      </w:pPr>
    </w:p>
    <w:p>
      <w:pPr>
        <w:spacing w:line="362" w:lineRule="auto" w:before="0"/>
        <w:ind w:left="496" w:right="443" w:firstLine="0"/>
        <w:jc w:val="left"/>
        <w:rPr>
          <w:b/>
          <w:sz w:val="16"/>
        </w:rPr>
      </w:pPr>
      <w:r>
        <w:rPr>
          <w:b/>
          <w:sz w:val="16"/>
        </w:rPr>
        <w:t>Figure 6.4 Diagrammatic representation of spectral overlap between donor’s emission and acceptor’s absorption spectrum.</w:t>
      </w:r>
    </w:p>
    <w:p>
      <w:pPr>
        <w:pStyle w:val="BodyText"/>
        <w:spacing w:before="9"/>
        <w:rPr>
          <w:b/>
          <w:sz w:val="16"/>
        </w:rPr>
      </w:pPr>
    </w:p>
    <w:p>
      <w:pPr>
        <w:pStyle w:val="BodyText"/>
        <w:ind w:left="300"/>
        <w:jc w:val="both"/>
      </w:pPr>
      <w:r>
        <w:rPr/>
        <w:t>The efficiency of energy transfer depends upon</w:t>
      </w:r>
    </w:p>
    <w:p>
      <w:pPr>
        <w:pStyle w:val="ListParagraph"/>
        <w:numPr>
          <w:ilvl w:val="0"/>
          <w:numId w:val="8"/>
        </w:numPr>
        <w:tabs>
          <w:tab w:pos="1019" w:val="left" w:leader="none"/>
          <w:tab w:pos="1020" w:val="left" w:leader="none"/>
        </w:tabs>
        <w:spacing w:line="240" w:lineRule="auto" w:before="140" w:after="0"/>
        <w:ind w:left="1020" w:right="0" w:hanging="488"/>
        <w:jc w:val="left"/>
        <w:rPr>
          <w:i/>
          <w:sz w:val="24"/>
        </w:rPr>
      </w:pPr>
      <w:r>
        <w:rPr>
          <w:sz w:val="24"/>
        </w:rPr>
        <w:t>the distance between </w:t>
      </w:r>
      <w:r>
        <w:rPr>
          <w:i/>
          <w:sz w:val="24"/>
        </w:rPr>
        <w:t>D </w:t>
      </w:r>
      <w:r>
        <w:rPr>
          <w:sz w:val="24"/>
        </w:rPr>
        <w:t>and</w:t>
      </w:r>
      <w:r>
        <w:rPr>
          <w:spacing w:val="-1"/>
          <w:sz w:val="24"/>
        </w:rPr>
        <w:t> </w:t>
      </w:r>
      <w:r>
        <w:rPr>
          <w:i/>
          <w:sz w:val="24"/>
        </w:rPr>
        <w:t>A</w:t>
      </w:r>
    </w:p>
    <w:p>
      <w:pPr>
        <w:pStyle w:val="ListParagraph"/>
        <w:numPr>
          <w:ilvl w:val="0"/>
          <w:numId w:val="8"/>
        </w:numPr>
        <w:tabs>
          <w:tab w:pos="1019" w:val="left" w:leader="none"/>
          <w:tab w:pos="1020" w:val="left" w:leader="none"/>
        </w:tabs>
        <w:spacing w:line="240" w:lineRule="auto" w:before="136" w:after="0"/>
        <w:ind w:left="1020" w:right="0" w:hanging="555"/>
        <w:jc w:val="left"/>
        <w:rPr>
          <w:i/>
          <w:sz w:val="24"/>
        </w:rPr>
      </w:pPr>
      <w:r>
        <w:rPr>
          <w:sz w:val="24"/>
        </w:rPr>
        <w:t>the relative orientation of the transition dipoles of </w:t>
      </w:r>
      <w:r>
        <w:rPr>
          <w:i/>
          <w:sz w:val="24"/>
        </w:rPr>
        <w:t>D </w:t>
      </w:r>
      <w:r>
        <w:rPr>
          <w:sz w:val="24"/>
        </w:rPr>
        <w:t>and</w:t>
      </w:r>
      <w:r>
        <w:rPr>
          <w:spacing w:val="-5"/>
          <w:sz w:val="24"/>
        </w:rPr>
        <w:t> </w:t>
      </w:r>
      <w:r>
        <w:rPr>
          <w:i/>
          <w:sz w:val="24"/>
        </w:rPr>
        <w:t>A</w:t>
      </w:r>
    </w:p>
    <w:p>
      <w:pPr>
        <w:pStyle w:val="ListParagraph"/>
        <w:numPr>
          <w:ilvl w:val="0"/>
          <w:numId w:val="8"/>
        </w:numPr>
        <w:tabs>
          <w:tab w:pos="1019" w:val="left" w:leader="none"/>
          <w:tab w:pos="1020" w:val="left" w:leader="none"/>
        </w:tabs>
        <w:spacing w:line="360" w:lineRule="auto" w:before="140" w:after="0"/>
        <w:ind w:left="1020" w:right="315" w:hanging="620"/>
        <w:jc w:val="left"/>
        <w:rPr>
          <w:sz w:val="24"/>
        </w:rPr>
      </w:pPr>
      <w:r>
        <w:rPr>
          <w:sz w:val="24"/>
        </w:rPr>
        <w:t>the extent of the overlap between </w:t>
      </w:r>
      <w:r>
        <w:rPr>
          <w:i/>
          <w:sz w:val="24"/>
        </w:rPr>
        <w:t>D</w:t>
      </w:r>
      <w:r>
        <w:rPr>
          <w:sz w:val="24"/>
        </w:rPr>
        <w:t>’s emission spectrum and </w:t>
      </w:r>
      <w:r>
        <w:rPr>
          <w:i/>
          <w:sz w:val="24"/>
        </w:rPr>
        <w:t>A</w:t>
      </w:r>
      <w:r>
        <w:rPr>
          <w:sz w:val="24"/>
        </w:rPr>
        <w:t>’s absorption spectrum</w:t>
      </w:r>
    </w:p>
    <w:p>
      <w:pPr>
        <w:spacing w:line="100" w:lineRule="exact" w:before="14"/>
        <w:ind w:left="2730" w:right="617" w:firstLine="0"/>
        <w:jc w:val="center"/>
        <w:rPr>
          <w:rFonts w:ascii="Symbola" w:eastAsia="Symbola"/>
          <w:sz w:val="16"/>
        </w:rPr>
      </w:pPr>
      <w:r>
        <w:rPr>
          <w:rFonts w:ascii="Symbola" w:eastAsia="Symbola"/>
          <w:spacing w:val="4"/>
          <w:w w:val="120"/>
          <w:position w:val="-7"/>
          <w:sz w:val="20"/>
        </w:rPr>
        <w:t>𝑅</w:t>
      </w:r>
      <w:r>
        <w:rPr>
          <w:rFonts w:ascii="Symbola" w:eastAsia="Symbola"/>
          <w:spacing w:val="4"/>
          <w:w w:val="120"/>
          <w:sz w:val="16"/>
        </w:rPr>
        <w:t>6</w:t>
      </w:r>
    </w:p>
    <w:p>
      <w:pPr>
        <w:tabs>
          <w:tab w:pos="5315" w:val="left" w:leader="none"/>
        </w:tabs>
        <w:spacing w:line="153" w:lineRule="exact" w:before="47"/>
        <w:ind w:left="1740" w:right="0" w:firstLine="0"/>
        <w:jc w:val="left"/>
        <w:rPr>
          <w:rFonts w:ascii="Symbola" w:eastAsia="Symbola"/>
          <w:sz w:val="28"/>
        </w:rPr>
      </w:pPr>
      <w:r>
        <w:rPr>
          <w:w w:val="110"/>
          <w:sz w:val="24"/>
        </w:rPr>
        <w:t>Efficiency</w:t>
      </w:r>
      <w:r>
        <w:rPr>
          <w:spacing w:val="-46"/>
          <w:w w:val="110"/>
          <w:sz w:val="24"/>
        </w:rPr>
        <w:t> </w:t>
      </w:r>
      <w:r>
        <w:rPr>
          <w:w w:val="110"/>
          <w:sz w:val="24"/>
        </w:rPr>
        <w:t>of</w:t>
      </w:r>
      <w:r>
        <w:rPr>
          <w:spacing w:val="-43"/>
          <w:w w:val="110"/>
          <w:sz w:val="24"/>
        </w:rPr>
        <w:t> </w:t>
      </w:r>
      <w:r>
        <w:rPr>
          <w:w w:val="110"/>
          <w:sz w:val="24"/>
        </w:rPr>
        <w:t>energy</w:t>
      </w:r>
      <w:r>
        <w:rPr>
          <w:spacing w:val="-45"/>
          <w:w w:val="110"/>
          <w:sz w:val="24"/>
        </w:rPr>
        <w:t> </w:t>
      </w:r>
      <w:r>
        <w:rPr>
          <w:w w:val="110"/>
          <w:sz w:val="24"/>
        </w:rPr>
        <w:t>transfer</w:t>
      </w:r>
      <w:r>
        <w:rPr>
          <w:spacing w:val="-43"/>
          <w:w w:val="110"/>
          <w:sz w:val="24"/>
        </w:rPr>
        <w:t> </w:t>
      </w:r>
      <w:r>
        <w:rPr>
          <w:rFonts w:ascii="Symbola" w:eastAsia="Symbola"/>
          <w:w w:val="110"/>
          <w:sz w:val="28"/>
        </w:rPr>
        <w:t>𝐸</w:t>
      </w:r>
      <w:r>
        <w:rPr>
          <w:rFonts w:ascii="Symbola" w:eastAsia="Symbola"/>
          <w:spacing w:val="-43"/>
          <w:w w:val="110"/>
          <w:sz w:val="28"/>
        </w:rPr>
        <w:t> </w:t>
      </w:r>
      <w:r>
        <w:rPr>
          <w:rFonts w:ascii="Symbola" w:eastAsia="Symbola"/>
          <w:w w:val="110"/>
          <w:sz w:val="28"/>
        </w:rPr>
        <w:t>=</w:t>
        <w:tab/>
      </w:r>
      <w:r>
        <w:rPr>
          <w:rFonts w:ascii="Symbola" w:eastAsia="Symbola"/>
          <w:w w:val="110"/>
          <w:sz w:val="28"/>
          <w:vertAlign w:val="subscript"/>
        </w:rPr>
        <w:t>6</w:t>
      </w:r>
      <w:r>
        <w:rPr>
          <w:rFonts w:ascii="Symbola" w:eastAsia="Symbola"/>
          <w:w w:val="110"/>
          <w:sz w:val="28"/>
          <w:vertAlign w:val="baseline"/>
        </w:rPr>
        <w:t> </w:t>
      </w:r>
      <w:r>
        <w:rPr>
          <w:rFonts w:ascii="Symbola" w:eastAsia="Symbola"/>
          <w:spacing w:val="2"/>
          <w:w w:val="110"/>
          <w:sz w:val="28"/>
          <w:vertAlign w:val="baseline"/>
        </w:rPr>
        <w:t> </w:t>
      </w:r>
      <w:r>
        <w:rPr>
          <w:rFonts w:ascii="Symbola" w:eastAsia="Symbola"/>
          <w:w w:val="110"/>
          <w:sz w:val="28"/>
          <w:vertAlign w:val="superscript"/>
        </w:rPr>
        <w:t>0</w:t>
      </w:r>
    </w:p>
    <w:p>
      <w:pPr>
        <w:pStyle w:val="BodyText"/>
        <w:spacing w:line="20" w:lineRule="exact"/>
        <w:ind w:left="5176"/>
        <w:rPr>
          <w:rFonts w:ascii="Symbola"/>
          <w:sz w:val="2"/>
        </w:rPr>
      </w:pPr>
      <w:r>
        <w:rPr>
          <w:rFonts w:ascii="Symbola"/>
          <w:sz w:val="2"/>
        </w:rPr>
        <w:pict>
          <v:group style="width:34.7pt;height:1pt;mso-position-horizontal-relative:char;mso-position-vertical-relative:line" coordorigin="0,0" coordsize="694,20">
            <v:rect style="position:absolute;left:0;top:0;width:694;height:20" filled="true" fillcolor="#000000" stroked="false">
              <v:fill type="solid"/>
            </v:rect>
          </v:group>
        </w:pict>
      </w:r>
      <w:r>
        <w:rPr>
          <w:rFonts w:ascii="Symbola"/>
          <w:sz w:val="2"/>
        </w:rPr>
      </w:r>
    </w:p>
    <w:p>
      <w:pPr>
        <w:spacing w:after="0" w:line="20" w:lineRule="exact"/>
        <w:rPr>
          <w:rFonts w:ascii="Symbola"/>
          <w:sz w:val="2"/>
        </w:rPr>
        <w:sectPr>
          <w:pgSz w:w="11910" w:h="16840"/>
          <w:pgMar w:header="722" w:footer="748" w:top="1300" w:bottom="940" w:left="1500" w:right="1480"/>
        </w:sectPr>
      </w:pPr>
    </w:p>
    <w:p>
      <w:pPr>
        <w:pStyle w:val="BodyText"/>
        <w:rPr>
          <w:rFonts w:ascii="Symbola"/>
          <w:sz w:val="26"/>
        </w:rPr>
      </w:pPr>
    </w:p>
    <w:p>
      <w:pPr>
        <w:pStyle w:val="BodyText"/>
        <w:spacing w:before="147"/>
        <w:jc w:val="right"/>
      </w:pPr>
      <w:r>
        <w:rPr/>
        <w:t>where,</w:t>
      </w:r>
    </w:p>
    <w:p>
      <w:pPr>
        <w:spacing w:before="7"/>
        <w:ind w:left="2728" w:right="3035" w:firstLine="0"/>
        <w:jc w:val="center"/>
        <w:rPr>
          <w:rFonts w:ascii="Symbola" w:eastAsia="Symbola"/>
          <w:sz w:val="16"/>
        </w:rPr>
      </w:pPr>
      <w:r>
        <w:rPr/>
        <w:br w:type="column"/>
      </w:r>
      <w:r>
        <w:rPr>
          <w:rFonts w:ascii="Symbola" w:eastAsia="Symbola"/>
          <w:w w:val="105"/>
          <w:sz w:val="20"/>
        </w:rPr>
        <w:t>𝑅</w:t>
      </w:r>
      <w:r>
        <w:rPr>
          <w:rFonts w:ascii="Symbola" w:eastAsia="Symbola"/>
          <w:w w:val="105"/>
          <w:position w:val="-5"/>
          <w:sz w:val="16"/>
        </w:rPr>
        <w:t>0  </w:t>
      </w:r>
      <w:r>
        <w:rPr>
          <w:rFonts w:ascii="Symbola" w:eastAsia="Symbola"/>
          <w:w w:val="105"/>
          <w:sz w:val="20"/>
        </w:rPr>
        <w:t>+ 𝑟</w:t>
      </w:r>
      <w:r>
        <w:rPr>
          <w:rFonts w:ascii="Symbola" w:eastAsia="Symbola"/>
          <w:w w:val="105"/>
          <w:position w:val="6"/>
          <w:sz w:val="16"/>
        </w:rPr>
        <w:t>6</w:t>
      </w:r>
    </w:p>
    <w:p>
      <w:pPr>
        <w:pStyle w:val="BodyText"/>
        <w:rPr>
          <w:rFonts w:ascii="Symbola"/>
          <w:sz w:val="30"/>
        </w:rPr>
      </w:pPr>
    </w:p>
    <w:p>
      <w:pPr>
        <w:pStyle w:val="BodyText"/>
        <w:spacing w:before="236"/>
        <w:ind w:left="37"/>
        <w:jc w:val="both"/>
        <w:rPr>
          <w:i/>
        </w:rPr>
      </w:pPr>
      <w:r>
        <w:rPr>
          <w:i/>
        </w:rPr>
        <w:t>r </w:t>
      </w:r>
      <w:r>
        <w:rPr/>
        <w:t>is the distance between </w:t>
      </w:r>
      <w:r>
        <w:rPr>
          <w:i/>
        </w:rPr>
        <w:t>D </w:t>
      </w:r>
      <w:r>
        <w:rPr/>
        <w:t>and </w:t>
      </w:r>
      <w:r>
        <w:rPr>
          <w:i/>
        </w:rPr>
        <w:t>A.</w:t>
      </w:r>
    </w:p>
    <w:p>
      <w:pPr>
        <w:pStyle w:val="BodyText"/>
        <w:spacing w:line="360" w:lineRule="auto" w:before="137"/>
        <w:ind w:left="37" w:right="320"/>
        <w:jc w:val="both"/>
      </w:pPr>
      <w:r>
        <w:rPr>
          <w:i/>
        </w:rPr>
        <w:t>R</w:t>
      </w:r>
      <w:r>
        <w:rPr>
          <w:i/>
          <w:vertAlign w:val="subscript"/>
        </w:rPr>
        <w:t>0</w:t>
      </w:r>
      <w:r>
        <w:rPr>
          <w:i/>
          <w:vertAlign w:val="baseline"/>
        </w:rPr>
        <w:t> </w:t>
      </w:r>
      <w:r>
        <w:rPr>
          <w:vertAlign w:val="baseline"/>
        </w:rPr>
        <w:t>(also called the Förster distance) is the distance (</w:t>
      </w:r>
      <w:r>
        <w:rPr>
          <w:i/>
          <w:vertAlign w:val="baseline"/>
        </w:rPr>
        <w:t>r</w:t>
      </w:r>
      <w:r>
        <w:rPr>
          <w:vertAlign w:val="baseline"/>
        </w:rPr>
        <w:t>) between </w:t>
      </w:r>
      <w:r>
        <w:rPr>
          <w:i/>
          <w:vertAlign w:val="baseline"/>
        </w:rPr>
        <w:t>D </w:t>
      </w:r>
      <w:r>
        <w:rPr>
          <w:vertAlign w:val="baseline"/>
        </w:rPr>
        <w:t>and </w:t>
      </w:r>
      <w:r>
        <w:rPr>
          <w:i/>
          <w:vertAlign w:val="baseline"/>
        </w:rPr>
        <w:t>A </w:t>
      </w:r>
      <w:r>
        <w:rPr>
          <w:vertAlign w:val="baseline"/>
        </w:rPr>
        <w:t>at which the efficiency of energy transfer is 50%, and is characteristic of a </w:t>
      </w:r>
      <w:r>
        <w:rPr>
          <w:i/>
          <w:vertAlign w:val="baseline"/>
        </w:rPr>
        <w:t>D-A </w:t>
      </w:r>
      <w:r>
        <w:rPr>
          <w:vertAlign w:val="baseline"/>
        </w:rPr>
        <w:t>FRET pair.</w:t>
      </w:r>
    </w:p>
    <w:p>
      <w:pPr>
        <w:spacing w:after="0" w:line="360" w:lineRule="auto"/>
        <w:jc w:val="both"/>
        <w:sectPr>
          <w:type w:val="continuous"/>
          <w:pgSz w:w="11910" w:h="16840"/>
          <w:pgMar w:top="1300" w:bottom="940" w:left="1500" w:right="1480"/>
          <w:cols w:num="2" w:equalWidth="0">
            <w:col w:w="2383" w:space="40"/>
            <w:col w:w="6507"/>
          </w:cols>
        </w:sectPr>
      </w:pPr>
    </w:p>
    <w:p>
      <w:pPr>
        <w:pStyle w:val="BodyText"/>
        <w:spacing w:line="360" w:lineRule="auto" w:before="1"/>
        <w:ind w:left="299" w:right="443"/>
      </w:pPr>
      <w:r>
        <w:rPr/>
        <w:t>Resonance energy transfer can be used to determine the distances between </w:t>
      </w:r>
      <w:r>
        <w:rPr>
          <w:i/>
        </w:rPr>
        <w:t>D </w:t>
      </w:r>
      <w:r>
        <w:rPr/>
        <w:t>and </w:t>
      </w:r>
      <w:r>
        <w:rPr>
          <w:i/>
        </w:rPr>
        <w:t>A</w:t>
      </w:r>
      <w:r>
        <w:rPr/>
        <w:t>, and is therefore also termed as molecular ruler.</w:t>
      </w:r>
    </w:p>
    <w:p>
      <w:pPr>
        <w:spacing w:after="0" w:line="360" w:lineRule="auto"/>
        <w:sectPr>
          <w:type w:val="continuous"/>
          <w:pgSz w:w="11910" w:h="16840"/>
          <w:pgMar w:top="1300" w:bottom="940" w:left="1500" w:right="1480"/>
        </w:sectPr>
      </w:pPr>
    </w:p>
    <w:p>
      <w:pPr>
        <w:pStyle w:val="BodyText"/>
        <w:tabs>
          <w:tab w:pos="2500" w:val="left" w:leader="none"/>
        </w:tabs>
        <w:spacing w:line="360" w:lineRule="auto" w:before="119"/>
        <w:ind w:left="300" w:right="315"/>
        <w:jc w:val="both"/>
      </w:pPr>
      <w:r>
        <w:rPr/>
        <w:pict>
          <v:shape style="position:absolute;margin-left:245.050003pt;margin-top:55.983124pt;width:258.7pt;height:101.55pt;mso-position-horizontal-relative:page;mso-position-vertical-relative:paragraph;z-index:-18498048" type="#_x0000_t202" filled="true" fillcolor="#ffff00" stroked="true" strokeweight=".75pt" strokecolor="#000000">
            <v:textbox inset="0,0,0,0">
              <w:txbxContent>
                <w:p>
                  <w:pPr>
                    <w:pStyle w:val="BodyText"/>
                    <w:spacing w:line="276" w:lineRule="auto" w:before="67"/>
                    <w:ind w:left="143" w:right="141"/>
                    <w:jc w:val="both"/>
                  </w:pPr>
                  <w:r>
                    <w:rPr/>
                    <w:t>Transition dipole moment: The transition dipole moment represents the transient dipole moment generated from the charge displacement during a transition. The transition dipole moments are defined vector quantities for the transitions of a particular molecule.</w:t>
                  </w:r>
                </w:p>
              </w:txbxContent>
            </v:textbox>
            <v:fill type="solid"/>
            <v:stroke dashstyle="solid"/>
            <w10:wrap type="none"/>
          </v:shape>
        </w:pict>
      </w:r>
      <w:r>
        <w:rPr>
          <w:i/>
        </w:rPr>
        <w:t>Fluorescence anisotropy: </w:t>
      </w:r>
      <w:r>
        <w:rPr/>
        <w:t>The radiation emitted by a sample following excitation with polarized light can be polarized. Polarization is measured in terms of anisotropy. Zero anisotropy</w:t>
        <w:tab/>
        <w:t>implies</w:t>
      </w:r>
    </w:p>
    <w:p>
      <w:pPr>
        <w:pStyle w:val="BodyText"/>
        <w:tabs>
          <w:tab w:pos="1487" w:val="left" w:leader="none"/>
          <w:tab w:pos="1651" w:val="left" w:leader="none"/>
          <w:tab w:pos="2356" w:val="left" w:leader="none"/>
          <w:tab w:pos="2702" w:val="left" w:leader="none"/>
        </w:tabs>
        <w:spacing w:line="360" w:lineRule="auto"/>
        <w:ind w:left="300" w:right="5714"/>
      </w:pPr>
      <w:r>
        <w:rPr/>
        <w:t>isotropic/non-polarized radiation</w:t>
        <w:tab/>
        <w:t>while</w:t>
        <w:tab/>
      </w:r>
      <w:r>
        <w:rPr>
          <w:spacing w:val="-3"/>
        </w:rPr>
        <w:t>non-zero </w:t>
      </w:r>
      <w:r>
        <w:rPr/>
        <w:t>anisotropy</w:t>
        <w:tab/>
        <w:tab/>
        <w:t>implies</w:t>
        <w:tab/>
      </w:r>
      <w:r>
        <w:rPr>
          <w:spacing w:val="-5"/>
        </w:rPr>
        <w:t>some </w:t>
      </w:r>
      <w:r>
        <w:rPr/>
        <w:t>degree of polarization.</w:t>
      </w:r>
      <w:r>
        <w:rPr>
          <w:spacing w:val="49"/>
        </w:rPr>
        <w:t> </w:t>
      </w:r>
      <w:r>
        <w:rPr/>
        <w:t>Figure</w:t>
      </w:r>
    </w:p>
    <w:p>
      <w:pPr>
        <w:pStyle w:val="ListParagraph"/>
        <w:numPr>
          <w:ilvl w:val="1"/>
          <w:numId w:val="9"/>
        </w:numPr>
        <w:tabs>
          <w:tab w:pos="728" w:val="left" w:leader="none"/>
        </w:tabs>
        <w:spacing w:line="360" w:lineRule="auto" w:before="0" w:after="0"/>
        <w:ind w:left="300" w:right="5133" w:firstLine="0"/>
        <w:jc w:val="left"/>
        <w:rPr>
          <w:sz w:val="24"/>
        </w:rPr>
      </w:pPr>
      <w:r>
        <w:rPr>
          <w:sz w:val="24"/>
        </w:rPr>
        <w:t>shows how fluorescence anisotropic measurements are</w:t>
      </w:r>
      <w:r>
        <w:rPr>
          <w:spacing w:val="1"/>
          <w:sz w:val="24"/>
        </w:rPr>
        <w:t> </w:t>
      </w:r>
      <w:r>
        <w:rPr>
          <w:spacing w:val="-4"/>
          <w:sz w:val="24"/>
        </w:rPr>
        <w:t>made.</w:t>
      </w:r>
    </w:p>
    <w:p>
      <w:pPr>
        <w:pStyle w:val="BodyText"/>
        <w:rPr>
          <w:sz w:val="20"/>
        </w:rPr>
      </w:pPr>
    </w:p>
    <w:p>
      <w:pPr>
        <w:pStyle w:val="BodyText"/>
        <w:spacing w:before="6"/>
        <w:rPr>
          <w:sz w:val="14"/>
        </w:rPr>
      </w:pPr>
      <w:r>
        <w:rPr/>
        <w:drawing>
          <wp:anchor distT="0" distB="0" distL="0" distR="0" allowOverlap="1" layoutInCell="1" locked="0" behindDoc="0" simplePos="0" relativeHeight="78">
            <wp:simplePos x="0" y="0"/>
            <wp:positionH relativeFrom="page">
              <wp:posOffset>1647682</wp:posOffset>
            </wp:positionH>
            <wp:positionV relativeFrom="paragraph">
              <wp:posOffset>131218</wp:posOffset>
            </wp:positionV>
            <wp:extent cx="4432130" cy="3277362"/>
            <wp:effectExtent l="0" t="0" r="0" b="0"/>
            <wp:wrapTopAndBottom/>
            <wp:docPr id="71" name="image38.jpeg" descr="Figure 6.5.tif"/>
            <wp:cNvGraphicFramePr>
              <a:graphicFrameLocks noChangeAspect="1"/>
            </wp:cNvGraphicFramePr>
            <a:graphic>
              <a:graphicData uri="http://schemas.openxmlformats.org/drawingml/2006/picture">
                <pic:pic>
                  <pic:nvPicPr>
                    <pic:cNvPr id="72" name="image38.jpeg"/>
                    <pic:cNvPicPr/>
                  </pic:nvPicPr>
                  <pic:blipFill>
                    <a:blip r:embed="rId46" cstate="print"/>
                    <a:stretch>
                      <a:fillRect/>
                    </a:stretch>
                  </pic:blipFill>
                  <pic:spPr>
                    <a:xfrm>
                      <a:off x="0" y="0"/>
                      <a:ext cx="4432130" cy="3277362"/>
                    </a:xfrm>
                    <a:prstGeom prst="rect">
                      <a:avLst/>
                    </a:prstGeom>
                  </pic:spPr>
                </pic:pic>
              </a:graphicData>
            </a:graphic>
          </wp:anchor>
        </w:drawing>
      </w:r>
    </w:p>
    <w:p>
      <w:pPr>
        <w:pStyle w:val="BodyText"/>
        <w:spacing w:before="3"/>
        <w:rPr>
          <w:sz w:val="29"/>
        </w:rPr>
      </w:pPr>
    </w:p>
    <w:p>
      <w:pPr>
        <w:spacing w:before="0"/>
        <w:ind w:left="791" w:right="617" w:firstLine="0"/>
        <w:jc w:val="center"/>
        <w:rPr>
          <w:b/>
          <w:sz w:val="16"/>
        </w:rPr>
      </w:pPr>
      <w:r>
        <w:rPr>
          <w:b/>
          <w:sz w:val="16"/>
        </w:rPr>
        <w:t>Figure 6.5 A schematic diagram showing the measurement of fluorescence anisotropy</w:t>
      </w:r>
    </w:p>
    <w:p>
      <w:pPr>
        <w:pStyle w:val="BodyText"/>
        <w:spacing w:before="10"/>
        <w:rPr>
          <w:b/>
        </w:rPr>
      </w:pPr>
    </w:p>
    <w:p>
      <w:pPr>
        <w:pStyle w:val="BodyText"/>
        <w:spacing w:line="364" w:lineRule="auto" w:before="1"/>
        <w:ind w:left="300" w:right="318"/>
        <w:jc w:val="both"/>
      </w:pPr>
      <w:r>
        <w:rPr/>
        <w:t>The sample is excited with the linearly polarized light and emission is recorded at 90°. A polarizer is placed before the detector that allows intensity measurement of the light polarized parallel </w:t>
      </w:r>
      <w:r>
        <w:rPr>
          <w:rFonts w:ascii="Symbola" w:hAnsi="Symbola" w:eastAsia="Symbola"/>
          <w:position w:val="1"/>
        </w:rPr>
        <w:t>(</w:t>
      </w:r>
      <w:r>
        <w:rPr>
          <w:rFonts w:ascii="Symbola" w:hAnsi="Symbola" w:eastAsia="Symbola"/>
        </w:rPr>
        <w:t>𝐼</w:t>
      </w:r>
      <w:r>
        <w:rPr>
          <w:rFonts w:ascii="Symbola" w:hAnsi="Symbola" w:eastAsia="Symbola"/>
          <w:vertAlign w:val="subscript"/>
        </w:rPr>
        <w:t>∥</w:t>
      </w:r>
      <w:r>
        <w:rPr>
          <w:rFonts w:ascii="Symbola" w:hAnsi="Symbola" w:eastAsia="Symbola"/>
          <w:position w:val="1"/>
          <w:vertAlign w:val="baseline"/>
        </w:rPr>
        <w:t>) </w:t>
      </w:r>
      <w:r>
        <w:rPr>
          <w:vertAlign w:val="baseline"/>
        </w:rPr>
        <w:t>and perpendicular </w:t>
      </w:r>
      <w:r>
        <w:rPr>
          <w:rFonts w:ascii="Symbola" w:hAnsi="Symbola" w:eastAsia="Symbola"/>
          <w:position w:val="1"/>
          <w:vertAlign w:val="baseline"/>
        </w:rPr>
        <w:t>(</w:t>
      </w:r>
      <w:r>
        <w:rPr>
          <w:rFonts w:ascii="Symbola" w:hAnsi="Symbola" w:eastAsia="Symbola"/>
          <w:vertAlign w:val="baseline"/>
        </w:rPr>
        <w:t>𝐼</w:t>
      </w:r>
      <w:r>
        <w:rPr>
          <w:rFonts w:ascii="Symbola" w:hAnsi="Symbola" w:eastAsia="Symbola"/>
          <w:vertAlign w:val="subscript"/>
        </w:rPr>
        <w:t>⊥</w:t>
      </w:r>
      <w:r>
        <w:rPr>
          <w:rFonts w:ascii="Symbola" w:hAnsi="Symbola" w:eastAsia="Symbola"/>
          <w:position w:val="1"/>
          <w:vertAlign w:val="baseline"/>
        </w:rPr>
        <w:t>) </w:t>
      </w:r>
      <w:r>
        <w:rPr>
          <w:vertAlign w:val="baseline"/>
        </w:rPr>
        <w:t>to the direction of excitation radiation. The anisotropy (</w:t>
      </w:r>
      <w:r>
        <w:rPr>
          <w:i/>
          <w:vertAlign w:val="baseline"/>
        </w:rPr>
        <w:t>r</w:t>
      </w:r>
      <w:r>
        <w:rPr>
          <w:vertAlign w:val="baseline"/>
        </w:rPr>
        <w:t>) is given by</w:t>
      </w:r>
    </w:p>
    <w:p>
      <w:pPr>
        <w:pStyle w:val="BodyText"/>
        <w:spacing w:line="199" w:lineRule="auto" w:before="8"/>
        <w:ind w:left="525" w:right="617"/>
        <w:jc w:val="center"/>
        <w:rPr>
          <w:rFonts w:ascii="Symbola" w:hAnsi="Symbola" w:eastAsia="Symbola"/>
        </w:rPr>
      </w:pPr>
      <w:r>
        <w:rPr/>
        <w:pict>
          <v:rect style="position:absolute;margin-left:288.720001pt;margin-top:15.019436pt;width:42.24pt;height:.841pt;mso-position-horizontal-relative:page;mso-position-vertical-relative:paragraph;z-index:-18498560" filled="true" fillcolor="#000000" stroked="false">
            <v:fill type="solid"/>
            <w10:wrap type="none"/>
          </v:rect>
        </w:pict>
      </w:r>
      <w:r>
        <w:rPr>
          <w:rFonts w:ascii="Symbola" w:hAnsi="Symbola" w:eastAsia="Symbola"/>
          <w:w w:val="95"/>
          <w:position w:val="-17"/>
        </w:rPr>
        <w:t>𝑟 =   </w:t>
      </w:r>
      <w:r>
        <w:rPr>
          <w:rFonts w:ascii="Symbola" w:hAnsi="Symbola" w:eastAsia="Symbola"/>
          <w:w w:val="95"/>
        </w:rPr>
        <w:t>𝐼</w:t>
      </w:r>
      <w:r>
        <w:rPr>
          <w:rFonts w:ascii="Symbola" w:hAnsi="Symbola" w:eastAsia="Symbola"/>
          <w:w w:val="95"/>
          <w:vertAlign w:val="subscript"/>
        </w:rPr>
        <w:t>⊥</w:t>
      </w:r>
      <w:r>
        <w:rPr>
          <w:rFonts w:ascii="Symbola" w:hAnsi="Symbola" w:eastAsia="Symbola"/>
          <w:w w:val="95"/>
          <w:vertAlign w:val="baseline"/>
        </w:rPr>
        <w:t> −  𝐼</w:t>
      </w:r>
      <w:r>
        <w:rPr>
          <w:rFonts w:ascii="Symbola" w:hAnsi="Symbola" w:eastAsia="Symbola"/>
          <w:w w:val="95"/>
          <w:vertAlign w:val="subscript"/>
        </w:rPr>
        <w:t>∥</w:t>
      </w:r>
    </w:p>
    <w:p>
      <w:pPr>
        <w:pStyle w:val="BodyText"/>
        <w:spacing w:line="203" w:lineRule="exact"/>
        <w:ind w:left="1072" w:right="617"/>
        <w:jc w:val="center"/>
        <w:rPr>
          <w:rFonts w:ascii="Symbola" w:hAnsi="Symbola" w:eastAsia="Symbola"/>
        </w:rPr>
      </w:pPr>
      <w:r>
        <w:rPr>
          <w:rFonts w:ascii="Symbola" w:hAnsi="Symbola" w:eastAsia="Symbola"/>
          <w:w w:val="95"/>
        </w:rPr>
        <w:t>𝐼</w:t>
      </w:r>
      <w:r>
        <w:rPr>
          <w:rFonts w:ascii="Symbola" w:hAnsi="Symbola" w:eastAsia="Symbola"/>
          <w:w w:val="95"/>
          <w:vertAlign w:val="subscript"/>
        </w:rPr>
        <w:t>⊥</w:t>
      </w:r>
      <w:r>
        <w:rPr>
          <w:rFonts w:ascii="Symbola" w:hAnsi="Symbola" w:eastAsia="Symbola"/>
          <w:w w:val="95"/>
          <w:vertAlign w:val="baseline"/>
        </w:rPr>
        <w:t> +  2𝐼</w:t>
      </w:r>
      <w:r>
        <w:rPr>
          <w:rFonts w:ascii="Symbola" w:hAnsi="Symbola" w:eastAsia="Symbola"/>
          <w:w w:val="95"/>
          <w:vertAlign w:val="subscript"/>
        </w:rPr>
        <w:t>∥</w:t>
      </w:r>
    </w:p>
    <w:p>
      <w:pPr>
        <w:spacing w:after="0" w:line="203" w:lineRule="exact"/>
        <w:jc w:val="center"/>
        <w:rPr>
          <w:rFonts w:ascii="Symbola" w:hAnsi="Symbola" w:eastAsia="Symbola"/>
        </w:rPr>
        <w:sectPr>
          <w:pgSz w:w="11910" w:h="16840"/>
          <w:pgMar w:header="722" w:footer="748" w:top="1300" w:bottom="940" w:left="1500" w:right="1480"/>
        </w:sectPr>
      </w:pPr>
    </w:p>
    <w:p>
      <w:pPr>
        <w:pStyle w:val="BodyText"/>
        <w:spacing w:line="360" w:lineRule="auto" w:before="119"/>
        <w:ind w:left="300" w:right="315"/>
        <w:jc w:val="both"/>
      </w:pPr>
      <w:r>
        <w:rPr/>
        <w:drawing>
          <wp:anchor distT="0" distB="0" distL="0" distR="0" allowOverlap="1" layoutInCell="1" locked="0" behindDoc="0" simplePos="0" relativeHeight="81">
            <wp:simplePos x="0" y="0"/>
            <wp:positionH relativeFrom="page">
              <wp:posOffset>1411102</wp:posOffset>
            </wp:positionH>
            <wp:positionV relativeFrom="paragraph">
              <wp:posOffset>1182777</wp:posOffset>
            </wp:positionV>
            <wp:extent cx="4909621" cy="4082034"/>
            <wp:effectExtent l="0" t="0" r="0" b="0"/>
            <wp:wrapTopAndBottom/>
            <wp:docPr id="73" name="image39.jpeg" descr="Figure 6.6.tif"/>
            <wp:cNvGraphicFramePr>
              <a:graphicFrameLocks noChangeAspect="1"/>
            </wp:cNvGraphicFramePr>
            <a:graphic>
              <a:graphicData uri="http://schemas.openxmlformats.org/drawingml/2006/picture">
                <pic:pic>
                  <pic:nvPicPr>
                    <pic:cNvPr id="74" name="image39.jpeg"/>
                    <pic:cNvPicPr/>
                  </pic:nvPicPr>
                  <pic:blipFill>
                    <a:blip r:embed="rId47" cstate="print"/>
                    <a:stretch>
                      <a:fillRect/>
                    </a:stretch>
                  </pic:blipFill>
                  <pic:spPr>
                    <a:xfrm>
                      <a:off x="0" y="0"/>
                      <a:ext cx="4909621" cy="4082034"/>
                    </a:xfrm>
                    <a:prstGeom prst="rect">
                      <a:avLst/>
                    </a:prstGeom>
                  </pic:spPr>
                </pic:pic>
              </a:graphicData>
            </a:graphic>
          </wp:anchor>
        </w:drawing>
      </w:r>
      <w:r>
        <w:rPr/>
        <w:t>Molecular tumbling before emission changes the orientation of the transition dipole moment, resulting in the loss of polarization (Figure 6.6). As rotational diffusion of the molecules depends on their sizes, fluorescence anisotropy can be used to measure the diffusion coefficient and therefore the sizes of the</w:t>
      </w:r>
      <w:r>
        <w:rPr>
          <w:spacing w:val="-4"/>
        </w:rPr>
        <w:t> </w:t>
      </w:r>
      <w:r>
        <w:rPr/>
        <w:t>molecules.</w:t>
      </w:r>
    </w:p>
    <w:p>
      <w:pPr>
        <w:pStyle w:val="BodyText"/>
        <w:spacing w:before="2"/>
      </w:pPr>
    </w:p>
    <w:p>
      <w:pPr>
        <w:spacing w:before="0"/>
        <w:ind w:left="793" w:right="617" w:firstLine="0"/>
        <w:jc w:val="center"/>
        <w:rPr>
          <w:b/>
          <w:sz w:val="16"/>
        </w:rPr>
      </w:pPr>
      <w:r>
        <w:rPr>
          <w:b/>
          <w:sz w:val="16"/>
        </w:rPr>
        <w:t>Figure 6.6 Depolarization of radiation as a result of molecular tumbling</w:t>
      </w:r>
    </w:p>
    <w:p>
      <w:pPr>
        <w:pStyle w:val="BodyText"/>
        <w:spacing w:before="10"/>
        <w:rPr>
          <w:b/>
        </w:rPr>
      </w:pPr>
    </w:p>
    <w:p>
      <w:pPr>
        <w:pStyle w:val="BodyText"/>
        <w:spacing w:line="360" w:lineRule="auto"/>
        <w:ind w:left="300" w:right="316"/>
        <w:jc w:val="both"/>
      </w:pPr>
      <w:r>
        <w:rPr/>
        <w:t>We shall, in the next lecture, discuss the biological fluorophores and the applications of fluorescence in understanding the biomolecules.</w:t>
      </w:r>
    </w:p>
    <w:p>
      <w:pPr>
        <w:spacing w:after="0" w:line="360" w:lineRule="auto"/>
        <w:jc w:val="both"/>
        <w:sectPr>
          <w:pgSz w:w="11910" w:h="16840"/>
          <w:pgMar w:header="722" w:footer="748" w:top="1300" w:bottom="940" w:left="1500" w:right="1480"/>
        </w:sectPr>
      </w:pPr>
    </w:p>
    <w:p>
      <w:pPr>
        <w:pStyle w:val="Heading2"/>
      </w:pPr>
      <w:r>
        <w:rPr/>
        <w:t>Lecture 7 Fluorescence Spectroscopy-II</w:t>
      </w:r>
    </w:p>
    <w:p>
      <w:pPr>
        <w:pStyle w:val="BodyText"/>
        <w:spacing w:before="4"/>
        <w:rPr>
          <w:b/>
          <w:sz w:val="33"/>
        </w:rPr>
      </w:pPr>
    </w:p>
    <w:p>
      <w:pPr>
        <w:pStyle w:val="Heading4"/>
      </w:pPr>
      <w:r>
        <w:rPr/>
        <w:t>Biological fluorophores</w:t>
      </w:r>
    </w:p>
    <w:p>
      <w:pPr>
        <w:pStyle w:val="BodyText"/>
        <w:rPr>
          <w:b/>
          <w:sz w:val="29"/>
        </w:rPr>
      </w:pPr>
    </w:p>
    <w:p>
      <w:pPr>
        <w:pStyle w:val="BodyText"/>
        <w:spacing w:line="360" w:lineRule="auto"/>
        <w:ind w:left="300" w:right="318"/>
        <w:jc w:val="both"/>
      </w:pPr>
      <w:r>
        <w:rPr>
          <w:i/>
        </w:rPr>
        <w:t>Amino acids: </w:t>
      </w:r>
      <w:r>
        <w:rPr/>
        <w:t>Aromatic amino acids tryptophan (Trp), tyrosine (Tyr), and phenylalanine (Phe) are perhaps the most important intrinsic biological fluorophores. Proteins harboring these amino acids become intrinsically fluorescent.</w:t>
      </w:r>
    </w:p>
    <w:p>
      <w:pPr>
        <w:pStyle w:val="BodyText"/>
        <w:spacing w:line="360" w:lineRule="auto" w:before="201"/>
        <w:ind w:left="300" w:right="315"/>
        <w:jc w:val="both"/>
      </w:pPr>
      <w:r>
        <w:rPr>
          <w:i/>
        </w:rPr>
        <w:t>Proteins: </w:t>
      </w:r>
      <w:r>
        <w:rPr/>
        <w:t>Proteins are fluorescent due to the presence of aromatic amino acids that fluoresce in the near UV region. Certain proteins, however, do fluoresce in the visible region. Green fluorescent protein (GFP), for example, fluoresces in the green region of the electromagnetic spectrum. The discovery of green fluorescent protein has revolutionized the area of cell biology research. It is therefore important to see what green fluorescent protein is and why it fluoresces in the visible region (See Box</w:t>
      </w:r>
      <w:r>
        <w:rPr>
          <w:spacing w:val="-14"/>
        </w:rPr>
        <w:t> </w:t>
      </w:r>
      <w:r>
        <w:rPr/>
        <w:t>1).</w:t>
      </w:r>
    </w:p>
    <w:p>
      <w:pPr>
        <w:pStyle w:val="BodyText"/>
        <w:spacing w:before="4"/>
        <w:rPr>
          <w:sz w:val="14"/>
        </w:rPr>
      </w:pPr>
      <w:r>
        <w:rPr/>
        <w:pict>
          <v:group style="position:absolute;margin-left:94.32pt;margin-top:10.246133pt;width:416.65pt;height:409.1pt;mso-position-horizontal-relative:page;mso-position-vertical-relative:paragraph;z-index:-15686144;mso-wrap-distance-left:0;mso-wrap-distance-right:0" coordorigin="1886,205" coordsize="8333,8182">
            <v:shape style="position:absolute;left:1896;top:214;width:8314;height:8160" coordorigin="1896,215" coordsize="8314,8160" path="m10210,215l10106,215,10106,1249,1997,1249,10106,1249,10106,215,1997,215,1896,215,1896,8375,1997,8375,10106,8375,10210,8375,10210,215xe" filled="true" fillcolor="#dadada" stroked="false">
              <v:path arrowok="t"/>
              <v:fill type="solid"/>
            </v:shape>
            <v:shape style="position:absolute;left:4345;top:3109;width:3445;height:5028" type="#_x0000_t75" alt="Box 7.1.tif" stroked="false">
              <v:imagedata r:id="rId48" o:title=""/>
            </v:shape>
            <v:shape style="position:absolute;left:1891;top:209;width:8324;height:8172" type="#_x0000_t202" filled="false" stroked="true" strokeweight=".48pt" strokecolor="#000000">
              <v:textbox inset="0,0,0,0">
                <w:txbxContent>
                  <w:p>
                    <w:pPr>
                      <w:spacing w:line="275" w:lineRule="exact" w:before="0"/>
                      <w:ind w:left="1975" w:right="1979" w:firstLine="0"/>
                      <w:jc w:val="center"/>
                      <w:rPr>
                        <w:b/>
                        <w:sz w:val="24"/>
                      </w:rPr>
                    </w:pPr>
                    <w:r>
                      <w:rPr>
                        <w:b/>
                        <w:sz w:val="24"/>
                      </w:rPr>
                      <w:t>Box 7.1: Green Fluorescent Protein (GFP)</w:t>
                    </w:r>
                  </w:p>
                  <w:p>
                    <w:pPr>
                      <w:spacing w:line="240" w:lineRule="auto" w:before="0"/>
                      <w:rPr>
                        <w:b/>
                        <w:sz w:val="26"/>
                      </w:rPr>
                    </w:pPr>
                  </w:p>
                  <w:p>
                    <w:pPr>
                      <w:spacing w:line="240" w:lineRule="auto" w:before="0"/>
                      <w:rPr>
                        <w:b/>
                        <w:sz w:val="26"/>
                      </w:rPr>
                    </w:pPr>
                  </w:p>
                  <w:p>
                    <w:pPr>
                      <w:spacing w:line="360" w:lineRule="auto" w:before="155"/>
                      <w:ind w:left="100" w:right="99" w:firstLine="0"/>
                      <w:jc w:val="both"/>
                      <w:rPr>
                        <w:sz w:val="24"/>
                      </w:rPr>
                    </w:pPr>
                    <w:r>
                      <w:rPr>
                        <w:sz w:val="24"/>
                      </w:rPr>
                      <w:t>Green fluorescent protein, abbreviated as GFP was discovered by Shimomura and coworkers in 1962. The protein was isolated from the jellyfish, </w:t>
                    </w:r>
                    <w:r>
                      <w:rPr>
                        <w:i/>
                        <w:sz w:val="24"/>
                      </w:rPr>
                      <w:t>Aequorea victoria</w:t>
                    </w:r>
                    <w:r>
                      <w:rPr>
                        <w:sz w:val="24"/>
                      </w:rPr>
                      <w:t>, that glows in the dark. GFP is a 238 amino acid long protein that folds into an 11- stranded β-barrel structure wherein an α-helix passes through the barrel.</w:t>
                    </w:r>
                  </w:p>
                </w:txbxContent>
              </v:textbox>
              <v:stroke dashstyle="solid"/>
              <w10:wrap type="none"/>
            </v:shape>
            <w10:wrap type="topAndBottom"/>
          </v:group>
        </w:pict>
      </w:r>
    </w:p>
    <w:p>
      <w:pPr>
        <w:spacing w:after="0"/>
        <w:rPr>
          <w:sz w:val="14"/>
        </w:rPr>
        <w:sectPr>
          <w:pgSz w:w="11910" w:h="16840"/>
          <w:pgMar w:header="722" w:footer="748" w:top="1300" w:bottom="940" w:left="1500" w:right="1480"/>
        </w:sectPr>
      </w:pPr>
    </w:p>
    <w:p>
      <w:pPr>
        <w:pStyle w:val="BodyText"/>
        <w:spacing w:line="360" w:lineRule="auto" w:before="129"/>
        <w:ind w:left="496" w:right="319"/>
        <w:jc w:val="both"/>
      </w:pPr>
      <w:r>
        <w:rPr/>
        <w:pict>
          <v:group style="position:absolute;margin-left:94.32pt;margin-top:6.252144pt;width:416.65pt;height:435.05pt;mso-position-horizontal-relative:page;mso-position-vertical-relative:paragraph;z-index:-18496000" coordorigin="1886,125" coordsize="8333,8701">
            <v:shape style="position:absolute;left:1896;top:134;width:8314;height:8681" coordorigin="1896,135" coordsize="8314,8681" path="m10210,135l10106,135,10106,1577,10106,6545,1997,6545,10106,6545,10106,1577,1997,1577,10106,1577,10106,135,1997,135,1896,135,1896,8815,1997,8815,10106,8815,10210,8815,10210,135xe" filled="true" fillcolor="#dadada" stroked="false">
              <v:path arrowok="t"/>
              <v:fill type="solid"/>
            </v:shape>
            <v:shape style="position:absolute;left:1886;top:125;width:8333;height:8701" coordorigin="1886,125" coordsize="8333,8701" path="m10219,125l10210,125,10210,135,10210,8815,1896,8815,1896,135,10210,135,10210,125,1896,125,1886,125,1886,8825,1896,8825,10210,8825,10219,8825,10219,125xe" filled="true" fillcolor="#000000" stroked="false">
              <v:path arrowok="t"/>
              <v:fill type="solid"/>
            </v:shape>
            <w10:wrap type="none"/>
          </v:group>
        </w:pict>
      </w:r>
      <w:r>
        <w:rPr/>
        <w:t>The fluorophore of the GFP, p-hydroxybenylideneimidazolinone is formed by the residues 65-67 (Ser-Tyr-Gly) and is present in the α-helix passing through the barrel.</w:t>
      </w:r>
    </w:p>
    <w:p>
      <w:pPr>
        <w:pStyle w:val="BodyText"/>
        <w:spacing w:before="7"/>
        <w:rPr>
          <w:sz w:val="9"/>
        </w:rPr>
      </w:pPr>
    </w:p>
    <w:p>
      <w:pPr>
        <w:pStyle w:val="BodyText"/>
        <w:spacing w:line="360" w:lineRule="auto" w:before="90"/>
        <w:ind w:left="496" w:right="317"/>
        <w:jc w:val="both"/>
      </w:pPr>
      <w:r>
        <w:rPr/>
        <w:t>The excitation spectrum of GFP exhibits a strong absorption band at 395 nm and a weak band at 475 nm. Emission is observed at ~504 nm </w:t>
      </w:r>
      <w:r>
        <w:rPr>
          <w:i/>
        </w:rPr>
        <w:t>i.e. </w:t>
      </w:r>
      <w:r>
        <w:rPr/>
        <w:t>in the green region. GFP is an excellent fluorophore with a molar absorption coefficient of ~30000 M</w:t>
      </w:r>
      <w:r>
        <w:rPr>
          <w:vertAlign w:val="superscript"/>
        </w:rPr>
        <w:t>-</w:t>
      </w:r>
      <w:r>
        <w:rPr>
          <w:vertAlign w:val="baseline"/>
        </w:rPr>
        <w:t> </w:t>
      </w:r>
      <w:r>
        <w:rPr>
          <w:vertAlign w:val="superscript"/>
        </w:rPr>
        <w:t>1</w:t>
      </w:r>
      <w:r>
        <w:rPr>
          <w:vertAlign w:val="baseline"/>
        </w:rPr>
        <w:t>cm</w:t>
      </w:r>
      <w:r>
        <w:rPr>
          <w:vertAlign w:val="superscript"/>
        </w:rPr>
        <w:t>-1</w:t>
      </w:r>
      <w:r>
        <w:rPr>
          <w:vertAlign w:val="baseline"/>
        </w:rPr>
        <w:t> at 395 nm and fluorescence quantum yield of 0.79. GFP has been engineered through extensive mutations to remove the undesirable properties that could affect its use as a potential fluorophore. For example, a Ser65 → Thr65 mutant has improved quantum yield and its major excitation band shifted to 490 nm. GFP has the tendency to form oligomers, seriously questioning its use as a fluorescent probe. The aggregation tendency has also been removed through extensive mutations. GFP can easily be tagged to a protein by expressing the fusing gene (GFP gene fused with the gene expressing the desired protein). The GFP then acts as a reporter for all the processes the linked protein is involved in. Several color variants of GFP have been generated through modifications in the residues that constitute the fluorophore. Development of the GFP variants with varying excitation and emission characteristics has made it possible to label the proteins differentially. This is a huge breakthrough and allows easy monitoring of the biological processes using fluorescence microscopy as discussed in lectures 15 and</w:t>
      </w:r>
      <w:r>
        <w:rPr>
          <w:spacing w:val="-6"/>
          <w:vertAlign w:val="baseline"/>
        </w:rPr>
        <w:t> </w:t>
      </w:r>
      <w:r>
        <w:rPr>
          <w:vertAlign w:val="baseline"/>
        </w:rPr>
        <w:t>20.</w:t>
      </w:r>
    </w:p>
    <w:p>
      <w:pPr>
        <w:pStyle w:val="BodyText"/>
        <w:rPr>
          <w:sz w:val="20"/>
        </w:rPr>
      </w:pPr>
    </w:p>
    <w:p>
      <w:pPr>
        <w:pStyle w:val="BodyText"/>
        <w:spacing w:before="4"/>
        <w:rPr>
          <w:sz w:val="26"/>
        </w:rPr>
      </w:pPr>
    </w:p>
    <w:p>
      <w:pPr>
        <w:pStyle w:val="BodyText"/>
        <w:spacing w:line="360" w:lineRule="auto" w:before="90"/>
        <w:ind w:left="300" w:right="315"/>
        <w:jc w:val="both"/>
      </w:pPr>
      <w:r>
        <w:rPr>
          <w:i/>
        </w:rPr>
        <w:t>Nucleotides: </w:t>
      </w:r>
      <w:r>
        <w:rPr/>
        <w:t>Nicotinamide adenine dinucleotide in its reduced form, NADH and the flavin adenine dinucleotide in its oxidized form, FAD are fluorescent in the visible region of the electromagnetic spectrum. It is not necessary for all the biomolecules to have an intrinsic fluorophore to perform fluorescence experiments. Fluorescent groups can be covalently incorporated into the molecules making them fluorescent with desirable fluorophore. Such externally incorporated fluorophores are called extrinsic</w:t>
      </w:r>
      <w:r>
        <w:rPr>
          <w:spacing w:val="-2"/>
        </w:rPr>
        <w:t> </w:t>
      </w:r>
      <w:r>
        <w:rPr/>
        <w:t>fluorophores.</w:t>
      </w:r>
    </w:p>
    <w:p>
      <w:pPr>
        <w:spacing w:after="0" w:line="360" w:lineRule="auto"/>
        <w:jc w:val="both"/>
        <w:sectPr>
          <w:pgSz w:w="11910" w:h="16840"/>
          <w:pgMar w:header="722" w:footer="748" w:top="1300" w:bottom="940" w:left="1500" w:right="1480"/>
        </w:sectPr>
      </w:pPr>
    </w:p>
    <w:p>
      <w:pPr>
        <w:pStyle w:val="Heading4"/>
        <w:spacing w:before="124"/>
      </w:pPr>
      <w:r>
        <w:rPr/>
        <w:t>Applications of fluorescence</w:t>
      </w:r>
    </w:p>
    <w:p>
      <w:pPr>
        <w:pStyle w:val="BodyText"/>
        <w:rPr>
          <w:b/>
          <w:sz w:val="29"/>
        </w:rPr>
      </w:pPr>
    </w:p>
    <w:p>
      <w:pPr>
        <w:pStyle w:val="BodyText"/>
        <w:spacing w:line="360" w:lineRule="auto"/>
        <w:ind w:left="299" w:right="313"/>
        <w:jc w:val="both"/>
      </w:pPr>
      <w:r>
        <w:rPr>
          <w:i/>
        </w:rPr>
        <w:t>Protein folding: </w:t>
      </w:r>
      <w:r>
        <w:rPr/>
        <w:t>High sensitivity of tryptophan fluorescence to the polarity of solvent makes it an interesting intrinsic fluorescent probe for studying protein folding. In the proteins having Phe and Tyr, Trp can be selectively excited at 295 nm. In water and other aqueous solutions, tryptophan fluoresces with an emission maximum, </w:t>
      </w:r>
      <w:r>
        <w:rPr>
          <w:i/>
        </w:rPr>
        <w:t>λ</w:t>
      </w:r>
      <w:r>
        <w:rPr>
          <w:i/>
          <w:vertAlign w:val="subscript"/>
        </w:rPr>
        <w:t>max</w:t>
      </w:r>
      <w:r>
        <w:rPr>
          <w:i/>
          <w:vertAlign w:val="baseline"/>
        </w:rPr>
        <w:t> </w:t>
      </w:r>
      <w:r>
        <w:rPr>
          <w:vertAlign w:val="baseline"/>
        </w:rPr>
        <w:t>around 350 nm. A tryptophan present in the hydrophobic environment usually displays a blue shift in the emission spectrum and an increase in quantum yield. Due to the hydrophobic nature of the indole side chain, tryptophans are usually buried inside the core of the proteins. The folding can therefore be studied by monitoring the Trp fluorescence as protein folds burying the water-exposed Trp residues inside the protein.</w:t>
      </w:r>
    </w:p>
    <w:p>
      <w:pPr>
        <w:pStyle w:val="BodyText"/>
        <w:spacing w:line="360" w:lineRule="auto" w:before="200"/>
        <w:ind w:left="300" w:right="315"/>
        <w:jc w:val="both"/>
      </w:pPr>
      <w:r>
        <w:rPr>
          <w:i/>
        </w:rPr>
        <w:t>Peptide-lipid interactions: </w:t>
      </w:r>
      <w:r>
        <w:rPr/>
        <w:t>Interaction of the peptides having Trp residues with lipid bilayers can easily be studied using fluorescence spectroscopy. Interaction of the peptide with lipids brings the tryptophan in relatively hydrophobic environment causing a blue shift in emission spectrum (Figure 7.1).</w:t>
      </w:r>
    </w:p>
    <w:p>
      <w:pPr>
        <w:pStyle w:val="BodyText"/>
        <w:spacing w:before="5"/>
        <w:rPr>
          <w:sz w:val="16"/>
        </w:rPr>
      </w:pPr>
      <w:r>
        <w:rPr/>
        <w:drawing>
          <wp:anchor distT="0" distB="0" distL="0" distR="0" allowOverlap="1" layoutInCell="1" locked="0" behindDoc="0" simplePos="0" relativeHeight="85">
            <wp:simplePos x="0" y="0"/>
            <wp:positionH relativeFrom="page">
              <wp:posOffset>1814247</wp:posOffset>
            </wp:positionH>
            <wp:positionV relativeFrom="paragraph">
              <wp:posOffset>145284</wp:posOffset>
            </wp:positionV>
            <wp:extent cx="4106619" cy="3067812"/>
            <wp:effectExtent l="0" t="0" r="0" b="0"/>
            <wp:wrapTopAndBottom/>
            <wp:docPr id="75" name="image41.jpeg" descr="Figure 17.1.tif"/>
            <wp:cNvGraphicFramePr>
              <a:graphicFrameLocks noChangeAspect="1"/>
            </wp:cNvGraphicFramePr>
            <a:graphic>
              <a:graphicData uri="http://schemas.openxmlformats.org/drawingml/2006/picture">
                <pic:pic>
                  <pic:nvPicPr>
                    <pic:cNvPr id="76" name="image41.jpeg"/>
                    <pic:cNvPicPr/>
                  </pic:nvPicPr>
                  <pic:blipFill>
                    <a:blip r:embed="rId49" cstate="print"/>
                    <a:stretch>
                      <a:fillRect/>
                    </a:stretch>
                  </pic:blipFill>
                  <pic:spPr>
                    <a:xfrm>
                      <a:off x="0" y="0"/>
                      <a:ext cx="4106619" cy="3067812"/>
                    </a:xfrm>
                    <a:prstGeom prst="rect">
                      <a:avLst/>
                    </a:prstGeom>
                  </pic:spPr>
                </pic:pic>
              </a:graphicData>
            </a:graphic>
          </wp:anchor>
        </w:drawing>
      </w:r>
    </w:p>
    <w:p>
      <w:pPr>
        <w:pStyle w:val="BodyText"/>
        <w:spacing w:before="4"/>
        <w:rPr>
          <w:sz w:val="25"/>
        </w:rPr>
      </w:pPr>
    </w:p>
    <w:p>
      <w:pPr>
        <w:spacing w:before="1"/>
        <w:ind w:left="795" w:right="617" w:firstLine="0"/>
        <w:jc w:val="center"/>
        <w:rPr>
          <w:b/>
          <w:sz w:val="16"/>
        </w:rPr>
      </w:pPr>
      <w:r>
        <w:rPr>
          <w:b/>
          <w:sz w:val="16"/>
        </w:rPr>
        <w:t>Figure 7.1 Spectral changes in tryptophan fluorescence upon binding to lipid bilayers</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7"/>
        <w:jc w:val="both"/>
      </w:pPr>
      <w:r>
        <w:rPr>
          <w:i/>
        </w:rPr>
        <w:t>Binding studies: </w:t>
      </w:r>
      <w:r>
        <w:rPr/>
        <w:t>Binding of small fluorescent molecules to the biomacromolecules can be studied using fluorescence anisotropy. Binding of the fluorophore to a macromolecule will reduce its tumbling (increase its rotational correlation time) thereby resulting in higher fluorescence</w:t>
      </w:r>
      <w:r>
        <w:rPr>
          <w:spacing w:val="-11"/>
        </w:rPr>
        <w:t> </w:t>
      </w:r>
      <w:r>
        <w:rPr/>
        <w:t>anisotropy.</w:t>
      </w:r>
    </w:p>
    <w:p>
      <w:pPr>
        <w:spacing w:before="200"/>
        <w:ind w:left="300" w:right="0" w:firstLine="0"/>
        <w:jc w:val="left"/>
        <w:rPr>
          <w:i/>
          <w:sz w:val="24"/>
        </w:rPr>
      </w:pPr>
      <w:r>
        <w:rPr>
          <w:i/>
          <w:sz w:val="24"/>
        </w:rPr>
        <w:t>FRET:</w:t>
      </w:r>
    </w:p>
    <w:p>
      <w:pPr>
        <w:pStyle w:val="ListParagraph"/>
        <w:numPr>
          <w:ilvl w:val="2"/>
          <w:numId w:val="9"/>
        </w:numPr>
        <w:tabs>
          <w:tab w:pos="1020" w:val="left" w:leader="none"/>
        </w:tabs>
        <w:spacing w:line="360" w:lineRule="auto" w:before="139" w:after="0"/>
        <w:ind w:left="1019" w:right="316" w:hanging="488"/>
        <w:jc w:val="both"/>
        <w:rPr>
          <w:sz w:val="24"/>
        </w:rPr>
      </w:pPr>
      <w:r>
        <w:rPr>
          <w:sz w:val="24"/>
        </w:rPr>
        <w:t>The distance between two sites in a biomacromolecule such as a protein can  be calculated by labeling these sites with suitable donor-acceptor FRET pair. FRET can also be used to study the intermolecular interaction if the interacting molecules comprise of the fluorophores making a FRET</w:t>
      </w:r>
      <w:r>
        <w:rPr>
          <w:spacing w:val="-6"/>
          <w:sz w:val="24"/>
        </w:rPr>
        <w:t> </w:t>
      </w:r>
      <w:r>
        <w:rPr>
          <w:sz w:val="24"/>
        </w:rPr>
        <w:t>pair.</w:t>
      </w:r>
    </w:p>
    <w:p>
      <w:pPr>
        <w:pStyle w:val="ListParagraph"/>
        <w:numPr>
          <w:ilvl w:val="2"/>
          <w:numId w:val="9"/>
        </w:numPr>
        <w:tabs>
          <w:tab w:pos="1020" w:val="left" w:leader="none"/>
        </w:tabs>
        <w:spacing w:line="360" w:lineRule="auto" w:before="0" w:after="0"/>
        <w:ind w:left="1019" w:right="315" w:hanging="555"/>
        <w:jc w:val="both"/>
        <w:rPr>
          <w:sz w:val="24"/>
        </w:rPr>
      </w:pPr>
      <w:r>
        <w:rPr>
          <w:sz w:val="24"/>
        </w:rPr>
        <w:t>Interactions of peptides and other molecules with lipid bilayers comprising fluorophore labeled lipids. </w:t>
      </w:r>
      <w:r>
        <w:rPr>
          <w:spacing w:val="-3"/>
          <w:sz w:val="24"/>
        </w:rPr>
        <w:t>If </w:t>
      </w:r>
      <w:r>
        <w:rPr>
          <w:sz w:val="24"/>
        </w:rPr>
        <w:t>the interacting molecule makes a FRET pair with the fluorescent lipid, the distance between them can be calculated providing information about the insertion of the molecule in the lipid</w:t>
      </w:r>
      <w:r>
        <w:rPr>
          <w:spacing w:val="-8"/>
          <w:sz w:val="24"/>
        </w:rPr>
        <w:t> </w:t>
      </w:r>
      <w:r>
        <w:rPr>
          <w:sz w:val="24"/>
        </w:rPr>
        <w:t>bilayer.</w:t>
      </w:r>
    </w:p>
    <w:p>
      <w:pPr>
        <w:pStyle w:val="ListParagraph"/>
        <w:numPr>
          <w:ilvl w:val="2"/>
          <w:numId w:val="9"/>
        </w:numPr>
        <w:tabs>
          <w:tab w:pos="1020" w:val="left" w:leader="none"/>
        </w:tabs>
        <w:spacing w:line="360" w:lineRule="auto" w:before="0" w:after="0"/>
        <w:ind w:left="1019" w:right="316" w:hanging="620"/>
        <w:jc w:val="both"/>
        <w:rPr>
          <w:sz w:val="24"/>
        </w:rPr>
      </w:pPr>
      <w:r>
        <w:rPr>
          <w:sz w:val="24"/>
        </w:rPr>
        <w:t>FRET has been utilized to study the kinetics of enzymatic reactions. For example, a DNA molecule, tagged with the fluorescence donor at one end and an acceptor at the other end can be used as a substrate to study the restriction endonuclease activity and cleavage reaction kinetics (Figure 7.2). A similar assay can be used to study the proteases using peptides as the</w:t>
      </w:r>
      <w:r>
        <w:rPr>
          <w:spacing w:val="-15"/>
          <w:sz w:val="24"/>
        </w:rPr>
        <w:t> </w:t>
      </w:r>
      <w:r>
        <w:rPr>
          <w:sz w:val="24"/>
        </w:rPr>
        <w:t>substrates.</w:t>
      </w:r>
    </w:p>
    <w:p>
      <w:pPr>
        <w:pStyle w:val="BodyText"/>
        <w:spacing w:before="10"/>
        <w:rPr>
          <w:sz w:val="18"/>
        </w:rPr>
      </w:pPr>
      <w:r>
        <w:rPr/>
        <w:drawing>
          <wp:anchor distT="0" distB="0" distL="0" distR="0" allowOverlap="1" layoutInCell="1" locked="0" behindDoc="0" simplePos="0" relativeHeight="86">
            <wp:simplePos x="0" y="0"/>
            <wp:positionH relativeFrom="page">
              <wp:posOffset>1307622</wp:posOffset>
            </wp:positionH>
            <wp:positionV relativeFrom="paragraph">
              <wp:posOffset>162899</wp:posOffset>
            </wp:positionV>
            <wp:extent cx="4888809" cy="2060448"/>
            <wp:effectExtent l="0" t="0" r="0" b="0"/>
            <wp:wrapTopAndBottom/>
            <wp:docPr id="77" name="image42.png" descr="Figure 7.3.tif"/>
            <wp:cNvGraphicFramePr>
              <a:graphicFrameLocks noChangeAspect="1"/>
            </wp:cNvGraphicFramePr>
            <a:graphic>
              <a:graphicData uri="http://schemas.openxmlformats.org/drawingml/2006/picture">
                <pic:pic>
                  <pic:nvPicPr>
                    <pic:cNvPr id="78" name="image42.png"/>
                    <pic:cNvPicPr/>
                  </pic:nvPicPr>
                  <pic:blipFill>
                    <a:blip r:embed="rId50" cstate="print"/>
                    <a:stretch>
                      <a:fillRect/>
                    </a:stretch>
                  </pic:blipFill>
                  <pic:spPr>
                    <a:xfrm>
                      <a:off x="0" y="0"/>
                      <a:ext cx="4888809" cy="2060448"/>
                    </a:xfrm>
                    <a:prstGeom prst="rect">
                      <a:avLst/>
                    </a:prstGeom>
                  </pic:spPr>
                </pic:pic>
              </a:graphicData>
            </a:graphic>
          </wp:anchor>
        </w:drawing>
      </w:r>
    </w:p>
    <w:p>
      <w:pPr>
        <w:pStyle w:val="BodyText"/>
        <w:spacing w:before="9"/>
        <w:rPr>
          <w:sz w:val="29"/>
        </w:rPr>
      </w:pPr>
    </w:p>
    <w:p>
      <w:pPr>
        <w:spacing w:before="0"/>
        <w:ind w:left="292" w:right="117" w:firstLine="0"/>
        <w:jc w:val="center"/>
        <w:rPr>
          <w:b/>
          <w:sz w:val="16"/>
        </w:rPr>
      </w:pPr>
      <w:r>
        <w:rPr>
          <w:b/>
          <w:sz w:val="16"/>
        </w:rPr>
        <w:t>Figure 7.2 Decrease in fluorescence intensity of the acceptor following cleavage of DNA molecules.</w:t>
      </w:r>
    </w:p>
    <w:p>
      <w:pPr>
        <w:spacing w:after="0"/>
        <w:jc w:val="center"/>
        <w:rPr>
          <w:sz w:val="16"/>
        </w:rPr>
        <w:sectPr>
          <w:pgSz w:w="11910" w:h="16840"/>
          <w:pgMar w:header="722" w:footer="748" w:top="1300" w:bottom="940" w:left="1500" w:right="1480"/>
        </w:sectPr>
      </w:pPr>
    </w:p>
    <w:p>
      <w:pPr>
        <w:spacing w:before="119"/>
        <w:ind w:left="300" w:right="0" w:firstLine="0"/>
        <w:jc w:val="both"/>
        <w:rPr>
          <w:i/>
          <w:sz w:val="24"/>
        </w:rPr>
      </w:pPr>
      <w:r>
        <w:rPr>
          <w:i/>
          <w:sz w:val="24"/>
        </w:rPr>
        <w:t>Fluorescence quenching:</w:t>
      </w:r>
    </w:p>
    <w:p>
      <w:pPr>
        <w:pStyle w:val="ListParagraph"/>
        <w:numPr>
          <w:ilvl w:val="0"/>
          <w:numId w:val="10"/>
        </w:numPr>
        <w:tabs>
          <w:tab w:pos="1020" w:val="left" w:leader="none"/>
        </w:tabs>
        <w:spacing w:line="360" w:lineRule="auto" w:before="137" w:after="0"/>
        <w:ind w:left="1019" w:right="316" w:hanging="488"/>
        <w:jc w:val="both"/>
        <w:rPr>
          <w:sz w:val="24"/>
        </w:rPr>
      </w:pPr>
      <w:r>
        <w:rPr>
          <w:sz w:val="24"/>
        </w:rPr>
        <w:t>Interaction of a fluorophore with another molecule(s) may provide it protection against a collisional quencher. For example, interaction of a Trp containing peptide with lipid bilayers can be studied using iodide </w:t>
      </w:r>
      <w:r>
        <w:rPr>
          <w:spacing w:val="4"/>
          <w:sz w:val="24"/>
        </w:rPr>
        <w:t>(</w:t>
      </w:r>
      <w:r>
        <w:rPr>
          <w:rFonts w:ascii="Symbola" w:hAnsi="Symbola"/>
          <w:spacing w:val="4"/>
          <w:sz w:val="24"/>
        </w:rPr>
        <w:t>I</w:t>
      </w:r>
      <w:r>
        <w:rPr>
          <w:rFonts w:ascii="Symbola" w:hAnsi="Symbola"/>
          <w:spacing w:val="4"/>
          <w:sz w:val="24"/>
          <w:vertAlign w:val="superscript"/>
        </w:rPr>
        <w:t>−</w:t>
      </w:r>
      <w:r>
        <w:rPr>
          <w:spacing w:val="4"/>
          <w:sz w:val="24"/>
          <w:vertAlign w:val="baseline"/>
        </w:rPr>
        <w:t>) </w:t>
      </w:r>
      <w:r>
        <w:rPr>
          <w:sz w:val="24"/>
          <w:vertAlign w:val="baseline"/>
        </w:rPr>
        <w:t>as the collisional quencher. The peptide sample in the presence of lipid vesicle is titrated with the potassium iodide (KI) and fluorescence spectra recorded at each quencher concentration. The collisional fluorescence quenching is described by a plot of ‘the ratio of quantum yield in the absence of quencher to that in the presence of quencher’ against ‘the quencher concentration’. Such a plot is known as the Stern-Volmer plot. The Stern-Volmer equation is given by</w:t>
      </w:r>
    </w:p>
    <w:p>
      <w:pPr>
        <w:pStyle w:val="BodyText"/>
        <w:spacing w:before="23"/>
        <w:ind w:left="355" w:right="617"/>
        <w:jc w:val="center"/>
      </w:pPr>
      <w:r>
        <w:rPr/>
        <w:pict>
          <v:shape style="position:absolute;margin-left:127.440002pt;margin-top:12.719872pt;width:5.35pt;height:10pt;mso-position-horizontal-relative:page;mso-position-vertical-relative:paragraph;z-index:-18494464" type="#_x0000_t202" filled="false" stroked="false">
            <v:textbox inset="0,0,0,0">
              <w:txbxContent>
                <w:p>
                  <w:pPr>
                    <w:spacing w:before="28"/>
                    <w:ind w:left="0" w:right="0" w:firstLine="0"/>
                    <w:jc w:val="left"/>
                    <w:rPr>
                      <w:rFonts w:ascii="Symbola" w:eastAsia="Symbola"/>
                      <w:sz w:val="17"/>
                    </w:rPr>
                  </w:pPr>
                  <w:r>
                    <w:rPr>
                      <w:rFonts w:ascii="Symbola" w:eastAsia="Symbola"/>
                      <w:w w:val="110"/>
                      <w:sz w:val="17"/>
                    </w:rPr>
                    <w:t>𝐹</w:t>
                  </w:r>
                </w:p>
              </w:txbxContent>
            </v:textbox>
            <w10:wrap type="none"/>
          </v:shape>
        </w:pict>
      </w:r>
      <w:r>
        <w:rPr>
          <w:rFonts w:ascii="Symbola" w:hAnsi="Symbola" w:eastAsia="Symbola"/>
          <w:position w:val="14"/>
          <w:sz w:val="17"/>
          <w:u w:val="single"/>
        </w:rPr>
        <w:t>𝐹</w:t>
      </w:r>
      <w:r>
        <w:rPr>
          <w:rFonts w:ascii="Symbola" w:hAnsi="Symbola" w:eastAsia="Symbola"/>
          <w:position w:val="11"/>
          <w:sz w:val="14"/>
          <w:u w:val="single"/>
        </w:rPr>
        <w:t>0</w:t>
      </w:r>
      <w:r>
        <w:rPr>
          <w:rFonts w:ascii="Symbola" w:hAnsi="Symbola" w:eastAsia="Symbola"/>
          <w:position w:val="11"/>
          <w:sz w:val="14"/>
        </w:rPr>
        <w:t> </w:t>
      </w:r>
      <w:r>
        <w:rPr>
          <w:rFonts w:ascii="Symbola" w:hAnsi="Symbola" w:eastAsia="Symbola"/>
        </w:rPr>
        <w:t>= 1 + 𝑘</w:t>
      </w:r>
      <w:r>
        <w:rPr>
          <w:rFonts w:ascii="Symbola" w:hAnsi="Symbola" w:eastAsia="Symbola"/>
          <w:vertAlign w:val="subscript"/>
        </w:rPr>
        <w:t>𝑞</w:t>
      </w:r>
      <w:r>
        <w:rPr>
          <w:rFonts w:ascii="Symbola" w:hAnsi="Symbola" w:eastAsia="Symbola"/>
          <w:vertAlign w:val="baseline"/>
        </w:rPr>
        <w:t>𝜏</w:t>
      </w:r>
      <w:r>
        <w:rPr>
          <w:rFonts w:ascii="Symbola" w:hAnsi="Symbola" w:eastAsia="Symbola"/>
          <w:vertAlign w:val="subscript"/>
        </w:rPr>
        <w:t>0</w:t>
      </w:r>
      <w:r>
        <w:rPr>
          <w:rFonts w:ascii="Symbola" w:hAnsi="Symbola" w:eastAsia="Symbola"/>
          <w:position w:val="1"/>
          <w:vertAlign w:val="baseline"/>
        </w:rPr>
        <w:t>[</w:t>
      </w:r>
      <w:r>
        <w:rPr>
          <w:rFonts w:ascii="Symbola" w:hAnsi="Symbola" w:eastAsia="Symbola"/>
          <w:vertAlign w:val="baseline"/>
        </w:rPr>
        <w:t>𝑄</w:t>
      </w:r>
      <w:r>
        <w:rPr>
          <w:rFonts w:ascii="Symbola" w:hAnsi="Symbola" w:eastAsia="Symbola"/>
          <w:position w:val="1"/>
          <w:vertAlign w:val="baseline"/>
        </w:rPr>
        <w:t>] </w:t>
      </w:r>
      <w:r>
        <w:rPr>
          <w:rFonts w:ascii="Symbola" w:hAnsi="Symbola" w:eastAsia="Symbola"/>
          <w:vertAlign w:val="baseline"/>
        </w:rPr>
        <w:t>= 1 + 𝐾</w:t>
      </w:r>
      <w:r>
        <w:rPr>
          <w:rFonts w:ascii="Symbola" w:hAnsi="Symbola" w:eastAsia="Symbola"/>
          <w:vertAlign w:val="subscript"/>
        </w:rPr>
        <w:t>𝑠𝑣</w:t>
      </w:r>
      <w:r>
        <w:rPr>
          <w:rFonts w:ascii="Symbola" w:hAnsi="Symbola" w:eastAsia="Symbola"/>
          <w:position w:val="1"/>
          <w:vertAlign w:val="baseline"/>
        </w:rPr>
        <w:t>[</w:t>
      </w:r>
      <w:r>
        <w:rPr>
          <w:rFonts w:ascii="Symbola" w:hAnsi="Symbola" w:eastAsia="Symbola"/>
          <w:vertAlign w:val="baseline"/>
        </w:rPr>
        <w:t>𝑄</w:t>
      </w:r>
      <w:r>
        <w:rPr>
          <w:rFonts w:ascii="Symbola" w:hAnsi="Symbola" w:eastAsia="Symbola"/>
          <w:position w:val="1"/>
          <w:vertAlign w:val="baseline"/>
        </w:rPr>
        <w:t>]</w:t>
      </w:r>
      <w:r>
        <w:rPr>
          <w:vertAlign w:val="baseline"/>
        </w:rPr>
        <w:t>········································· (7.1)</w:t>
      </w:r>
    </w:p>
    <w:p>
      <w:pPr>
        <w:pStyle w:val="BodyText"/>
        <w:spacing w:before="2"/>
        <w:rPr>
          <w:sz w:val="10"/>
        </w:rPr>
      </w:pPr>
    </w:p>
    <w:p>
      <w:pPr>
        <w:pStyle w:val="BodyText"/>
        <w:spacing w:before="90"/>
        <w:ind w:left="1740"/>
      </w:pPr>
      <w:r>
        <w:rPr/>
        <w:t>where,</w:t>
      </w:r>
    </w:p>
    <w:p>
      <w:pPr>
        <w:pStyle w:val="BodyText"/>
        <w:tabs>
          <w:tab w:pos="3179" w:val="left" w:leader="none"/>
        </w:tabs>
        <w:spacing w:line="360" w:lineRule="auto" w:before="137"/>
        <w:ind w:left="2460" w:right="893"/>
      </w:pPr>
      <w:r>
        <w:rPr>
          <w:i/>
        </w:rPr>
        <w:t>F</w:t>
      </w:r>
      <w:r>
        <w:rPr>
          <w:i/>
          <w:vertAlign w:val="subscript"/>
        </w:rPr>
        <w:t>0</w:t>
      </w:r>
      <w:r>
        <w:rPr>
          <w:i/>
          <w:vertAlign w:val="baseline"/>
        </w:rPr>
        <w:t> </w:t>
      </w:r>
      <w:r>
        <w:rPr>
          <w:vertAlign w:val="baseline"/>
        </w:rPr>
        <w:t>=</w:t>
        <w:tab/>
        <w:t>Fluorescence intensity in the absence of quencher </w:t>
      </w:r>
      <w:r>
        <w:rPr>
          <w:i/>
          <w:vertAlign w:val="baseline"/>
        </w:rPr>
        <w:t>F</w:t>
      </w:r>
      <w:r>
        <w:rPr>
          <w:i/>
          <w:spacing w:val="-1"/>
          <w:vertAlign w:val="baseline"/>
        </w:rPr>
        <w:t> </w:t>
      </w:r>
      <w:r>
        <w:rPr>
          <w:vertAlign w:val="baseline"/>
        </w:rPr>
        <w:t>=</w:t>
        <w:tab/>
        <w:t>Fluorescence intensity in the presence of quencher </w:t>
      </w:r>
      <w:r>
        <w:rPr>
          <w:i/>
          <w:vertAlign w:val="baseline"/>
        </w:rPr>
        <w:t>k</w:t>
      </w:r>
      <w:r>
        <w:rPr>
          <w:i/>
          <w:vertAlign w:val="subscript"/>
        </w:rPr>
        <w:t>q</w:t>
      </w:r>
      <w:r>
        <w:rPr>
          <w:i/>
          <w:vertAlign w:val="baseline"/>
        </w:rPr>
        <w:t> </w:t>
      </w:r>
      <w:r>
        <w:rPr>
          <w:vertAlign w:val="baseline"/>
        </w:rPr>
        <w:t>=</w:t>
        <w:tab/>
        <w:t>Bimolecular quenching</w:t>
      </w:r>
      <w:r>
        <w:rPr>
          <w:spacing w:val="-4"/>
          <w:vertAlign w:val="baseline"/>
        </w:rPr>
        <w:t> </w:t>
      </w:r>
      <w:r>
        <w:rPr>
          <w:vertAlign w:val="baseline"/>
        </w:rPr>
        <w:t>constant</w:t>
      </w:r>
    </w:p>
    <w:p>
      <w:pPr>
        <w:pStyle w:val="BodyText"/>
        <w:tabs>
          <w:tab w:pos="3179" w:val="left" w:leader="none"/>
        </w:tabs>
        <w:spacing w:before="1"/>
        <w:ind w:left="2459"/>
      </w:pPr>
      <w:r>
        <w:rPr>
          <w:i/>
        </w:rPr>
        <w:t>τ</w:t>
      </w:r>
      <w:r>
        <w:rPr>
          <w:i/>
          <w:vertAlign w:val="subscript"/>
        </w:rPr>
        <w:t>0</w:t>
      </w:r>
      <w:r>
        <w:rPr>
          <w:i/>
          <w:spacing w:val="1"/>
          <w:vertAlign w:val="baseline"/>
        </w:rPr>
        <w:t> </w:t>
      </w:r>
      <w:r>
        <w:rPr>
          <w:vertAlign w:val="baseline"/>
        </w:rPr>
        <w:t>=</w:t>
        <w:tab/>
        <w:t>Fluorescence lifetime in the absence of</w:t>
      </w:r>
      <w:r>
        <w:rPr>
          <w:spacing w:val="-7"/>
          <w:vertAlign w:val="baseline"/>
        </w:rPr>
        <w:t> </w:t>
      </w:r>
      <w:r>
        <w:rPr>
          <w:vertAlign w:val="baseline"/>
        </w:rPr>
        <w:t>quencher</w:t>
      </w:r>
    </w:p>
    <w:p>
      <w:pPr>
        <w:pStyle w:val="BodyText"/>
        <w:spacing w:before="137"/>
        <w:ind w:left="2460"/>
      </w:pPr>
      <w:r>
        <w:rPr>
          <w:i/>
        </w:rPr>
        <w:t>[Q] </w:t>
      </w:r>
      <w:r>
        <w:rPr/>
        <w:t>= Quencher concentration</w:t>
      </w:r>
    </w:p>
    <w:p>
      <w:pPr>
        <w:pStyle w:val="BodyText"/>
        <w:tabs>
          <w:tab w:pos="3179" w:val="left" w:leader="none"/>
        </w:tabs>
        <w:spacing w:before="139"/>
        <w:ind w:left="2460"/>
      </w:pPr>
      <w:r>
        <w:rPr>
          <w:i/>
        </w:rPr>
        <w:t>K</w:t>
      </w:r>
      <w:r>
        <w:rPr>
          <w:i/>
          <w:vertAlign w:val="subscript"/>
        </w:rPr>
        <w:t>sv</w:t>
      </w:r>
      <w:r>
        <w:rPr>
          <w:i/>
          <w:spacing w:val="-1"/>
          <w:vertAlign w:val="baseline"/>
        </w:rPr>
        <w:t> </w:t>
      </w:r>
      <w:r>
        <w:rPr>
          <w:vertAlign w:val="baseline"/>
        </w:rPr>
        <w:t>=</w:t>
        <w:tab/>
        <w:t>Stern-Volmer</w:t>
      </w:r>
      <w:r>
        <w:rPr>
          <w:spacing w:val="-1"/>
          <w:vertAlign w:val="baseline"/>
        </w:rPr>
        <w:t> </w:t>
      </w:r>
      <w:r>
        <w:rPr>
          <w:vertAlign w:val="baseline"/>
        </w:rPr>
        <w:t>constant</w:t>
      </w:r>
    </w:p>
    <w:p>
      <w:pPr>
        <w:pStyle w:val="BodyText"/>
        <w:spacing w:line="360" w:lineRule="auto" w:before="137"/>
        <w:ind w:left="1019" w:right="315"/>
        <w:jc w:val="both"/>
      </w:pPr>
      <w:r>
        <w:rPr/>
        <w:t>A normalized accessibility factor (NAF) is defined as the ratio of ‘the </w:t>
      </w:r>
      <w:r>
        <w:rPr>
          <w:i/>
        </w:rPr>
        <w:t>K</w:t>
      </w:r>
      <w:r>
        <w:rPr>
          <w:i/>
          <w:vertAlign w:val="subscript"/>
        </w:rPr>
        <w:t>sv</w:t>
      </w:r>
      <w:r>
        <w:rPr>
          <w:i/>
          <w:vertAlign w:val="baseline"/>
        </w:rPr>
        <w:t> </w:t>
      </w:r>
      <w:r>
        <w:rPr>
          <w:vertAlign w:val="baseline"/>
        </w:rPr>
        <w:t>in the presence of the binding partner of the fluorophore’ to ‘that without the binding</w:t>
      </w:r>
      <w:r>
        <w:rPr>
          <w:spacing w:val="-4"/>
          <w:vertAlign w:val="baseline"/>
        </w:rPr>
        <w:t> </w:t>
      </w:r>
      <w:r>
        <w:rPr>
          <w:vertAlign w:val="baseline"/>
        </w:rPr>
        <w:t>partner’.</w:t>
      </w:r>
    </w:p>
    <w:p>
      <w:pPr>
        <w:pStyle w:val="BodyText"/>
        <w:rPr>
          <w:sz w:val="26"/>
        </w:rPr>
      </w:pPr>
    </w:p>
    <w:p>
      <w:pPr>
        <w:pStyle w:val="BodyText"/>
        <w:rPr>
          <w:sz w:val="26"/>
        </w:rPr>
      </w:pPr>
    </w:p>
    <w:p>
      <w:pPr>
        <w:pStyle w:val="ListParagraph"/>
        <w:numPr>
          <w:ilvl w:val="0"/>
          <w:numId w:val="10"/>
        </w:numPr>
        <w:tabs>
          <w:tab w:pos="1020" w:val="left" w:leader="none"/>
        </w:tabs>
        <w:spacing w:line="360" w:lineRule="auto" w:before="217" w:after="0"/>
        <w:ind w:left="1019" w:right="315" w:hanging="555"/>
        <w:jc w:val="both"/>
        <w:rPr>
          <w:sz w:val="24"/>
        </w:rPr>
      </w:pPr>
      <w:r>
        <w:rPr>
          <w:sz w:val="24"/>
        </w:rPr>
        <w:t>The fluorescence intensity of a sample increases with an increase in the fluorophore concentration. Beyond certain concentration, however, the fluorescence intensity decreases due to self collisional quenching. This property is often used to study the membranolytic activities of a compound. A fluorescent dye at self-quenching concentrations is trapped inside a lipid vesicle. A membranolytic compound results in the release of the fluorescent dye causing increase in fluorescence emission intensity (Figure</w:t>
      </w:r>
      <w:r>
        <w:rPr>
          <w:spacing w:val="-11"/>
          <w:sz w:val="24"/>
        </w:rPr>
        <w:t> </w:t>
      </w:r>
      <w:r>
        <w:rPr>
          <w:sz w:val="24"/>
        </w:rPr>
        <w:t>7.3).</w:t>
      </w:r>
    </w:p>
    <w:p>
      <w:pPr>
        <w:spacing w:after="0" w:line="360" w:lineRule="auto"/>
        <w:jc w:val="both"/>
        <w:rPr>
          <w:sz w:val="24"/>
        </w:rPr>
        <w:sectPr>
          <w:pgSz w:w="11910" w:h="16840"/>
          <w:pgMar w:header="722" w:footer="748" w:top="1300" w:bottom="940" w:left="1500" w:right="1480"/>
        </w:sectPr>
      </w:pPr>
    </w:p>
    <w:p>
      <w:pPr>
        <w:pStyle w:val="BodyText"/>
        <w:spacing w:before="8"/>
        <w:rPr>
          <w:sz w:val="15"/>
        </w:rPr>
      </w:pPr>
    </w:p>
    <w:p>
      <w:pPr>
        <w:pStyle w:val="BodyText"/>
        <w:ind w:left="978"/>
        <w:rPr>
          <w:sz w:val="20"/>
        </w:rPr>
      </w:pPr>
      <w:r>
        <w:rPr>
          <w:sz w:val="20"/>
        </w:rPr>
        <w:drawing>
          <wp:inline distT="0" distB="0" distL="0" distR="0">
            <wp:extent cx="4582290" cy="1680591"/>
            <wp:effectExtent l="0" t="0" r="0" b="0"/>
            <wp:docPr id="79" name="image43.jpeg" descr="Figure 7.4.tif"/>
            <wp:cNvGraphicFramePr>
              <a:graphicFrameLocks noChangeAspect="1"/>
            </wp:cNvGraphicFramePr>
            <a:graphic>
              <a:graphicData uri="http://schemas.openxmlformats.org/drawingml/2006/picture">
                <pic:pic>
                  <pic:nvPicPr>
                    <pic:cNvPr id="80" name="image43.jpeg"/>
                    <pic:cNvPicPr/>
                  </pic:nvPicPr>
                  <pic:blipFill>
                    <a:blip r:embed="rId51" cstate="print"/>
                    <a:stretch>
                      <a:fillRect/>
                    </a:stretch>
                  </pic:blipFill>
                  <pic:spPr>
                    <a:xfrm>
                      <a:off x="0" y="0"/>
                      <a:ext cx="4582290" cy="1680591"/>
                    </a:xfrm>
                    <a:prstGeom prst="rect">
                      <a:avLst/>
                    </a:prstGeom>
                  </pic:spPr>
                </pic:pic>
              </a:graphicData>
            </a:graphic>
          </wp:inline>
        </w:drawing>
      </w:r>
      <w:r>
        <w:rPr>
          <w:sz w:val="20"/>
        </w:rPr>
      </w:r>
    </w:p>
    <w:p>
      <w:pPr>
        <w:pStyle w:val="BodyText"/>
        <w:rPr>
          <w:sz w:val="23"/>
        </w:rPr>
      </w:pPr>
    </w:p>
    <w:p>
      <w:pPr>
        <w:spacing w:line="362" w:lineRule="auto" w:before="94"/>
        <w:ind w:left="496" w:right="400" w:firstLine="0"/>
        <w:jc w:val="left"/>
        <w:rPr>
          <w:b/>
          <w:sz w:val="16"/>
        </w:rPr>
      </w:pPr>
      <w:r>
        <w:rPr>
          <w:b/>
          <w:sz w:val="16"/>
        </w:rPr>
        <w:t>Figure 7.3 Membranolytic activity of a compound monitored through dye release assay. Release of dye from the lipid vesicle diminishes the self-quenching resulting in enhanced fluorescence emission.</w:t>
      </w:r>
    </w:p>
    <w:p>
      <w:pPr>
        <w:pStyle w:val="BodyText"/>
        <w:rPr>
          <w:b/>
          <w:sz w:val="18"/>
        </w:rPr>
      </w:pPr>
    </w:p>
    <w:p>
      <w:pPr>
        <w:pStyle w:val="BodyText"/>
        <w:rPr>
          <w:b/>
          <w:sz w:val="18"/>
        </w:rPr>
      </w:pPr>
    </w:p>
    <w:p>
      <w:pPr>
        <w:pStyle w:val="BodyText"/>
        <w:spacing w:before="4"/>
        <w:rPr>
          <w:b/>
          <w:sz w:val="22"/>
        </w:rPr>
      </w:pPr>
    </w:p>
    <w:p>
      <w:pPr>
        <w:pStyle w:val="ListParagraph"/>
        <w:numPr>
          <w:ilvl w:val="0"/>
          <w:numId w:val="10"/>
        </w:numPr>
        <w:tabs>
          <w:tab w:pos="1020" w:val="left" w:leader="none"/>
        </w:tabs>
        <w:spacing w:line="360" w:lineRule="auto" w:before="0" w:after="0"/>
        <w:ind w:left="1019" w:right="317" w:hanging="620"/>
        <w:jc w:val="both"/>
        <w:rPr>
          <w:sz w:val="24"/>
        </w:rPr>
      </w:pPr>
      <w:r>
        <w:rPr>
          <w:sz w:val="24"/>
        </w:rPr>
        <w:t>Fusion of lipid vesicles can also be studied using the same approach. Vesicles that contain self-quenching concentrations of the fluorescent dye are titrated with the vesicles without fluorophores. A fusion will result in the dilution of fluorophores; the consequent decrease in self-quenching is exhibited as an increase in the fluorescence intensity (Figure</w:t>
      </w:r>
      <w:r>
        <w:rPr>
          <w:spacing w:val="-8"/>
          <w:sz w:val="24"/>
        </w:rPr>
        <w:t> </w:t>
      </w:r>
      <w:r>
        <w:rPr>
          <w:sz w:val="24"/>
        </w:rPr>
        <w:t>7.4).</w:t>
      </w:r>
    </w:p>
    <w:p>
      <w:pPr>
        <w:pStyle w:val="BodyText"/>
        <w:rPr>
          <w:sz w:val="20"/>
        </w:rPr>
      </w:pPr>
    </w:p>
    <w:p>
      <w:pPr>
        <w:pStyle w:val="BodyText"/>
        <w:rPr>
          <w:sz w:val="15"/>
        </w:rPr>
      </w:pPr>
      <w:r>
        <w:rPr/>
        <w:drawing>
          <wp:anchor distT="0" distB="0" distL="0" distR="0" allowOverlap="1" layoutInCell="1" locked="0" behindDoc="0" simplePos="0" relativeHeight="88">
            <wp:simplePos x="0" y="0"/>
            <wp:positionH relativeFrom="page">
              <wp:posOffset>1383631</wp:posOffset>
            </wp:positionH>
            <wp:positionV relativeFrom="paragraph">
              <wp:posOffset>134365</wp:posOffset>
            </wp:positionV>
            <wp:extent cx="4936803" cy="3480816"/>
            <wp:effectExtent l="0" t="0" r="0" b="0"/>
            <wp:wrapTopAndBottom/>
            <wp:docPr id="81" name="image44.jpeg" descr="Figure 7.4.tif"/>
            <wp:cNvGraphicFramePr>
              <a:graphicFrameLocks noChangeAspect="1"/>
            </wp:cNvGraphicFramePr>
            <a:graphic>
              <a:graphicData uri="http://schemas.openxmlformats.org/drawingml/2006/picture">
                <pic:pic>
                  <pic:nvPicPr>
                    <pic:cNvPr id="82" name="image44.jpeg"/>
                    <pic:cNvPicPr/>
                  </pic:nvPicPr>
                  <pic:blipFill>
                    <a:blip r:embed="rId52" cstate="print"/>
                    <a:stretch>
                      <a:fillRect/>
                    </a:stretch>
                  </pic:blipFill>
                  <pic:spPr>
                    <a:xfrm>
                      <a:off x="0" y="0"/>
                      <a:ext cx="4936803" cy="3480816"/>
                    </a:xfrm>
                    <a:prstGeom prst="rect">
                      <a:avLst/>
                    </a:prstGeom>
                  </pic:spPr>
                </pic:pic>
              </a:graphicData>
            </a:graphic>
          </wp:anchor>
        </w:drawing>
      </w:r>
    </w:p>
    <w:p>
      <w:pPr>
        <w:pStyle w:val="BodyText"/>
        <w:spacing w:before="1"/>
        <w:rPr>
          <w:sz w:val="28"/>
        </w:rPr>
      </w:pPr>
    </w:p>
    <w:p>
      <w:pPr>
        <w:spacing w:line="362" w:lineRule="auto" w:before="0"/>
        <w:ind w:left="496" w:right="443" w:firstLine="0"/>
        <w:jc w:val="left"/>
        <w:rPr>
          <w:b/>
          <w:sz w:val="16"/>
        </w:rPr>
      </w:pPr>
      <w:r>
        <w:rPr>
          <w:b/>
          <w:sz w:val="16"/>
        </w:rPr>
        <w:t>Figure 7.4 Fusion of fluorescent dye-containing lipid vesicles with vesicles without dye results in dilution of dye. The dilution results in lesser self-quenching thereby increasing the fluorescence intensity.</w:t>
      </w:r>
    </w:p>
    <w:p>
      <w:pPr>
        <w:spacing w:after="0" w:line="362" w:lineRule="auto"/>
        <w:jc w:val="left"/>
        <w:rPr>
          <w:sz w:val="16"/>
        </w:rPr>
        <w:sectPr>
          <w:pgSz w:w="11910" w:h="16840"/>
          <w:pgMar w:header="722" w:footer="748" w:top="1300" w:bottom="940" w:left="1500" w:right="1480"/>
        </w:sectPr>
      </w:pPr>
    </w:p>
    <w:p>
      <w:pPr>
        <w:pStyle w:val="BodyText"/>
        <w:rPr>
          <w:b/>
          <w:sz w:val="20"/>
        </w:rPr>
      </w:pPr>
    </w:p>
    <w:p>
      <w:pPr>
        <w:pStyle w:val="BodyText"/>
        <w:spacing w:before="3"/>
        <w:rPr>
          <w:b/>
        </w:rPr>
      </w:pPr>
    </w:p>
    <w:p>
      <w:pPr>
        <w:pStyle w:val="Heading4"/>
        <w:spacing w:before="90"/>
        <w:ind w:left="4144"/>
        <w:jc w:val="left"/>
      </w:pPr>
      <w:r>
        <w:rPr/>
        <w:t>QUIZ</w:t>
      </w:r>
    </w:p>
    <w:p>
      <w:pPr>
        <w:pStyle w:val="BodyText"/>
        <w:spacing w:before="1"/>
        <w:rPr>
          <w:b/>
          <w:sz w:val="21"/>
        </w:rPr>
      </w:pPr>
    </w:p>
    <w:p>
      <w:pPr>
        <w:spacing w:line="276" w:lineRule="auto" w:before="0"/>
        <w:ind w:left="300" w:right="314" w:firstLine="0"/>
        <w:jc w:val="both"/>
        <w:rPr>
          <w:b/>
          <w:sz w:val="24"/>
        </w:rPr>
      </w:pPr>
      <w:r>
        <w:rPr>
          <w:b/>
          <w:sz w:val="24"/>
        </w:rPr>
        <w:t>Q1: Shown below are the absorption and emission spectra of a fluorophore. The fluorescence emission for this fluorophore is not the mirror image of the absorption spectrum. How do you explain this?</w:t>
      </w:r>
    </w:p>
    <w:p>
      <w:pPr>
        <w:pStyle w:val="BodyText"/>
        <w:spacing w:before="6"/>
        <w:rPr>
          <w:b/>
          <w:sz w:val="15"/>
        </w:rPr>
      </w:pPr>
      <w:r>
        <w:rPr/>
        <w:drawing>
          <wp:anchor distT="0" distB="0" distL="0" distR="0" allowOverlap="1" layoutInCell="1" locked="0" behindDoc="0" simplePos="0" relativeHeight="89">
            <wp:simplePos x="0" y="0"/>
            <wp:positionH relativeFrom="page">
              <wp:posOffset>1730925</wp:posOffset>
            </wp:positionH>
            <wp:positionV relativeFrom="paragraph">
              <wp:posOffset>138275</wp:posOffset>
            </wp:positionV>
            <wp:extent cx="4156320" cy="2367915"/>
            <wp:effectExtent l="0" t="0" r="0" b="0"/>
            <wp:wrapTopAndBottom/>
            <wp:docPr id="83" name="image45.jpeg" descr="Quiz, Q1.tif"/>
            <wp:cNvGraphicFramePr>
              <a:graphicFrameLocks noChangeAspect="1"/>
            </wp:cNvGraphicFramePr>
            <a:graphic>
              <a:graphicData uri="http://schemas.openxmlformats.org/drawingml/2006/picture">
                <pic:pic>
                  <pic:nvPicPr>
                    <pic:cNvPr id="84" name="image45.jpeg"/>
                    <pic:cNvPicPr/>
                  </pic:nvPicPr>
                  <pic:blipFill>
                    <a:blip r:embed="rId53" cstate="print"/>
                    <a:stretch>
                      <a:fillRect/>
                    </a:stretch>
                  </pic:blipFill>
                  <pic:spPr>
                    <a:xfrm>
                      <a:off x="0" y="0"/>
                      <a:ext cx="4156320" cy="2367915"/>
                    </a:xfrm>
                    <a:prstGeom prst="rect">
                      <a:avLst/>
                    </a:prstGeom>
                  </pic:spPr>
                </pic:pic>
              </a:graphicData>
            </a:graphic>
          </wp:anchor>
        </w:drawing>
      </w:r>
    </w:p>
    <w:p>
      <w:pPr>
        <w:pStyle w:val="BodyText"/>
        <w:spacing w:line="276" w:lineRule="auto" w:before="194"/>
        <w:ind w:left="300" w:right="314"/>
        <w:jc w:val="both"/>
      </w:pPr>
      <w:r>
        <w:rPr>
          <w:b/>
        </w:rPr>
        <w:t>Ans: </w:t>
      </w:r>
      <w:r>
        <w:rPr/>
        <w:t>The low wavelength absorption band is likely to be arising from S</w:t>
      </w:r>
      <w:r>
        <w:rPr>
          <w:vertAlign w:val="subscript"/>
        </w:rPr>
        <w:t>0</w:t>
      </w:r>
      <w:r>
        <w:rPr>
          <w:vertAlign w:val="baseline"/>
        </w:rPr>
        <w:t> → S</w:t>
      </w:r>
      <w:r>
        <w:rPr>
          <w:vertAlign w:val="subscript"/>
        </w:rPr>
        <w:t>2</w:t>
      </w:r>
      <w:r>
        <w:rPr>
          <w:vertAlign w:val="baseline"/>
        </w:rPr>
        <w:t> transition. As fluorophore relaxes back to S1 state prior to emission, the fluorescence band is the mirror image of the band arising from S</w:t>
      </w:r>
      <w:r>
        <w:rPr>
          <w:vertAlign w:val="subscript"/>
        </w:rPr>
        <w:t>0</w:t>
      </w:r>
      <w:r>
        <w:rPr>
          <w:vertAlign w:val="baseline"/>
        </w:rPr>
        <w:t> → S</w:t>
      </w:r>
      <w:r>
        <w:rPr>
          <w:vertAlign w:val="subscript"/>
        </w:rPr>
        <w:t>1</w:t>
      </w:r>
      <w:r>
        <w:rPr>
          <w:vertAlign w:val="baseline"/>
        </w:rPr>
        <w:t> transition, not the entire absorption spectrum.</w:t>
      </w:r>
    </w:p>
    <w:p>
      <w:pPr>
        <w:pStyle w:val="Heading4"/>
        <w:spacing w:line="276" w:lineRule="auto" w:before="207"/>
        <w:ind w:right="315"/>
      </w:pPr>
      <w:r>
        <w:rPr/>
        <w:t>Q2: If the efficiency of energy transfer between a donor and acceptor is 80%. Calculate the distance between them if the Förster distance between them is 40 nm?</w:t>
      </w:r>
    </w:p>
    <w:p>
      <w:pPr>
        <w:pStyle w:val="BodyText"/>
        <w:spacing w:before="195"/>
        <w:ind w:left="300"/>
        <w:jc w:val="both"/>
      </w:pPr>
      <w:r>
        <w:rPr>
          <w:b/>
        </w:rPr>
        <w:t>Ans: </w:t>
      </w:r>
      <w:r>
        <w:rPr/>
        <w:t>The efficiency of energy transfer, </w:t>
      </w:r>
      <w:r>
        <w:rPr>
          <w:i/>
        </w:rPr>
        <w:t>E </w:t>
      </w:r>
      <w:r>
        <w:rPr/>
        <w:t>is given by:</w:t>
      </w:r>
    </w:p>
    <w:p>
      <w:pPr>
        <w:pStyle w:val="BodyText"/>
        <w:spacing w:before="1"/>
        <w:rPr>
          <w:sz w:val="22"/>
        </w:rPr>
      </w:pPr>
    </w:p>
    <w:p>
      <w:pPr>
        <w:spacing w:line="100" w:lineRule="exact" w:before="0"/>
        <w:ind w:left="4017" w:right="0" w:firstLine="0"/>
        <w:jc w:val="left"/>
        <w:rPr>
          <w:rFonts w:ascii="Symbola" w:eastAsia="Symbola"/>
          <w:sz w:val="16"/>
        </w:rPr>
      </w:pPr>
      <w:r>
        <w:rPr>
          <w:rFonts w:ascii="Symbola" w:eastAsia="Symbola"/>
          <w:spacing w:val="4"/>
          <w:w w:val="120"/>
          <w:position w:val="-7"/>
          <w:sz w:val="20"/>
        </w:rPr>
        <w:t>𝑅</w:t>
      </w:r>
      <w:r>
        <w:rPr>
          <w:rFonts w:ascii="Symbola" w:eastAsia="Symbola"/>
          <w:spacing w:val="4"/>
          <w:w w:val="120"/>
          <w:sz w:val="16"/>
        </w:rPr>
        <w:t>6</w:t>
      </w:r>
    </w:p>
    <w:p>
      <w:pPr>
        <w:tabs>
          <w:tab w:pos="751" w:val="left" w:leader="none"/>
        </w:tabs>
        <w:spacing w:line="148" w:lineRule="exact" w:before="51"/>
        <w:ind w:left="0" w:right="1504" w:firstLine="0"/>
        <w:jc w:val="center"/>
        <w:rPr>
          <w:rFonts w:ascii="Symbola" w:eastAsia="Symbola"/>
          <w:sz w:val="28"/>
        </w:rPr>
      </w:pPr>
      <w:r>
        <w:rPr>
          <w:rFonts w:ascii="Symbola" w:eastAsia="Symbola"/>
          <w:w w:val="115"/>
          <w:sz w:val="28"/>
        </w:rPr>
        <w:t>𝐸</w:t>
      </w:r>
      <w:r>
        <w:rPr>
          <w:rFonts w:ascii="Symbola" w:eastAsia="Symbola"/>
          <w:spacing w:val="-11"/>
          <w:w w:val="115"/>
          <w:sz w:val="28"/>
        </w:rPr>
        <w:t> </w:t>
      </w:r>
      <w:r>
        <w:rPr>
          <w:rFonts w:ascii="Symbola" w:eastAsia="Symbola"/>
          <w:w w:val="115"/>
          <w:sz w:val="28"/>
        </w:rPr>
        <w:t>=</w:t>
        <w:tab/>
      </w:r>
      <w:r>
        <w:rPr>
          <w:rFonts w:ascii="Symbola" w:eastAsia="Symbola"/>
          <w:w w:val="120"/>
          <w:sz w:val="28"/>
          <w:vertAlign w:val="subscript"/>
        </w:rPr>
        <w:t>6</w:t>
      </w:r>
      <w:r>
        <w:rPr>
          <w:rFonts w:ascii="Symbola" w:eastAsia="Symbola"/>
          <w:spacing w:val="55"/>
          <w:w w:val="120"/>
          <w:sz w:val="28"/>
          <w:vertAlign w:val="baseline"/>
        </w:rPr>
        <w:t> </w:t>
      </w:r>
      <w:r>
        <w:rPr>
          <w:rFonts w:ascii="Symbola" w:eastAsia="Symbola"/>
          <w:w w:val="120"/>
          <w:sz w:val="28"/>
          <w:vertAlign w:val="superscript"/>
        </w:rPr>
        <w:t>0</w:t>
      </w:r>
    </w:p>
    <w:p>
      <w:pPr>
        <w:pStyle w:val="BodyText"/>
        <w:spacing w:line="20" w:lineRule="exact"/>
        <w:ind w:left="3792"/>
        <w:rPr>
          <w:rFonts w:ascii="Symbola"/>
          <w:sz w:val="2"/>
        </w:rPr>
      </w:pPr>
      <w:r>
        <w:rPr>
          <w:rFonts w:ascii="Symbola"/>
          <w:sz w:val="2"/>
        </w:rPr>
        <w:pict>
          <v:group style="width:34.7pt;height:1pt;mso-position-horizontal-relative:char;mso-position-vertical-relative:line" coordorigin="0,0" coordsize="694,20">
            <v:rect style="position:absolute;left:0;top:0;width:694;height:20" filled="true" fillcolor="#000000" stroked="false">
              <v:fill type="solid"/>
            </v:rect>
          </v:group>
        </w:pict>
      </w:r>
      <w:r>
        <w:rPr>
          <w:rFonts w:ascii="Symbola"/>
          <w:sz w:val="2"/>
        </w:rPr>
      </w:r>
    </w:p>
    <w:p>
      <w:pPr>
        <w:spacing w:before="7"/>
        <w:ind w:left="1000" w:right="1654" w:firstLine="0"/>
        <w:jc w:val="center"/>
        <w:rPr>
          <w:rFonts w:ascii="Symbola" w:eastAsia="Symbola"/>
          <w:sz w:val="16"/>
        </w:rPr>
      </w:pPr>
      <w:r>
        <w:rPr>
          <w:rFonts w:ascii="Symbola" w:eastAsia="Symbola"/>
          <w:w w:val="105"/>
          <w:sz w:val="20"/>
        </w:rPr>
        <w:t>𝑅</w:t>
      </w:r>
      <w:r>
        <w:rPr>
          <w:rFonts w:ascii="Symbola" w:eastAsia="Symbola"/>
          <w:w w:val="105"/>
          <w:position w:val="-5"/>
          <w:sz w:val="16"/>
        </w:rPr>
        <w:t>0  </w:t>
      </w:r>
      <w:r>
        <w:rPr>
          <w:rFonts w:ascii="Symbola" w:eastAsia="Symbola"/>
          <w:w w:val="105"/>
          <w:sz w:val="20"/>
        </w:rPr>
        <w:t>+ 𝑟</w:t>
      </w:r>
      <w:r>
        <w:rPr>
          <w:rFonts w:ascii="Symbola" w:eastAsia="Symbola"/>
          <w:w w:val="105"/>
          <w:position w:val="6"/>
          <w:sz w:val="16"/>
        </w:rPr>
        <w:t>6</w:t>
      </w:r>
    </w:p>
    <w:p>
      <w:pPr>
        <w:pStyle w:val="BodyText"/>
        <w:spacing w:before="207"/>
        <w:ind w:left="1020"/>
      </w:pPr>
      <w:r>
        <w:rPr/>
        <w:t>Given: </w:t>
      </w:r>
      <w:r>
        <w:rPr>
          <w:i/>
        </w:rPr>
        <w:t>E </w:t>
      </w:r>
      <w:r>
        <w:rPr/>
        <w:t>= 80% = 0.8, </w:t>
      </w:r>
      <w:r>
        <w:rPr>
          <w:i/>
        </w:rPr>
        <w:t>R</w:t>
      </w:r>
      <w:r>
        <w:rPr>
          <w:i/>
          <w:vertAlign w:val="subscript"/>
        </w:rPr>
        <w:t>0</w:t>
      </w:r>
      <w:r>
        <w:rPr>
          <w:i/>
          <w:vertAlign w:val="baseline"/>
        </w:rPr>
        <w:t> </w:t>
      </w:r>
      <w:r>
        <w:rPr>
          <w:vertAlign w:val="baseline"/>
        </w:rPr>
        <w:t>= 40 nm</w:t>
      </w:r>
    </w:p>
    <w:p>
      <w:pPr>
        <w:pStyle w:val="BodyText"/>
        <w:spacing w:before="243"/>
        <w:ind w:left="1020"/>
      </w:pPr>
      <w:r>
        <w:rPr/>
        <w:t>Rearranging the expression for the efficiency of energy transfer</w:t>
      </w:r>
    </w:p>
    <w:p>
      <w:pPr>
        <w:pStyle w:val="BodyText"/>
        <w:spacing w:before="2"/>
        <w:rPr>
          <w:sz w:val="29"/>
        </w:rPr>
      </w:pPr>
    </w:p>
    <w:p>
      <w:pPr>
        <w:pStyle w:val="BodyText"/>
        <w:tabs>
          <w:tab w:pos="811" w:val="left" w:leader="none"/>
        </w:tabs>
        <w:spacing w:line="94" w:lineRule="exact" w:after="18"/>
        <w:ind w:right="1654"/>
        <w:jc w:val="center"/>
        <w:rPr>
          <w:rFonts w:ascii="Symbola" w:eastAsia="Symbola"/>
        </w:rPr>
      </w:pPr>
      <w:r>
        <w:rPr>
          <w:rFonts w:ascii="Symbola" w:eastAsia="Symbola"/>
          <w:w w:val="105"/>
        </w:rPr>
        <w:t>𝐸</w:t>
      </w:r>
      <w:r>
        <w:rPr>
          <w:rFonts w:ascii="Symbola" w:eastAsia="Symbola"/>
          <w:spacing w:val="8"/>
          <w:w w:val="105"/>
        </w:rPr>
        <w:t> </w:t>
      </w:r>
      <w:r>
        <w:rPr>
          <w:rFonts w:ascii="Symbola" w:eastAsia="Symbola"/>
          <w:w w:val="105"/>
        </w:rPr>
        <w:t>=</w:t>
        <w:tab/>
      </w:r>
      <w:r>
        <w:rPr>
          <w:rFonts w:ascii="Symbola" w:eastAsia="Symbola"/>
          <w:w w:val="105"/>
          <w:vertAlign w:val="superscript"/>
        </w:rPr>
        <w:t>1</w:t>
      </w:r>
    </w:p>
    <w:p>
      <w:pPr>
        <w:pStyle w:val="BodyText"/>
        <w:spacing w:line="20" w:lineRule="exact"/>
        <w:ind w:left="3705"/>
        <w:rPr>
          <w:rFonts w:ascii="Symbola"/>
          <w:sz w:val="2"/>
        </w:rPr>
      </w:pPr>
      <w:r>
        <w:rPr>
          <w:rFonts w:ascii="Symbola"/>
          <w:sz w:val="2"/>
        </w:rPr>
        <w:pict>
          <v:group style="width:33.5pt;height:.85pt;mso-position-horizontal-relative:char;mso-position-vertical-relative:line" coordorigin="0,0" coordsize="670,17">
            <v:rect style="position:absolute;left:0;top:0;width:670;height:17" filled="true" fillcolor="#000000" stroked="false">
              <v:fill type="solid"/>
            </v:rect>
          </v:group>
        </w:pict>
      </w:r>
      <w:r>
        <w:rPr>
          <w:rFonts w:ascii="Symbola"/>
          <w:sz w:val="2"/>
        </w:rPr>
      </w:r>
    </w:p>
    <w:p>
      <w:pPr>
        <w:spacing w:line="84" w:lineRule="exact" w:before="0"/>
        <w:ind w:left="130" w:right="617" w:firstLine="0"/>
        <w:jc w:val="center"/>
        <w:rPr>
          <w:rFonts w:ascii="Symbola" w:eastAsia="Symbola"/>
          <w:sz w:val="14"/>
        </w:rPr>
      </w:pPr>
      <w:r>
        <w:rPr>
          <w:rFonts w:ascii="Symbola" w:eastAsia="Symbola"/>
          <w:w w:val="110"/>
          <w:position w:val="-4"/>
          <w:sz w:val="14"/>
        </w:rPr>
        <w:t>𝑟   </w:t>
      </w:r>
      <w:r>
        <w:rPr>
          <w:rFonts w:ascii="Symbola" w:eastAsia="Symbola"/>
          <w:w w:val="110"/>
          <w:sz w:val="14"/>
        </w:rPr>
        <w:t>6</w:t>
      </w:r>
    </w:p>
    <w:p>
      <w:pPr>
        <w:spacing w:before="28"/>
        <w:ind w:left="724" w:right="1654" w:firstLine="0"/>
        <w:jc w:val="center"/>
        <w:rPr>
          <w:rFonts w:ascii="Symbola" w:hAnsi="Symbola" w:cs="Symbola" w:eastAsia="Symbola"/>
          <w:sz w:val="17"/>
          <w:szCs w:val="17"/>
        </w:rPr>
      </w:pPr>
      <w:r>
        <w:rPr/>
        <w:pict>
          <v:rect style="position:absolute;margin-left:275.640015pt;margin-top:5.302646pt;width:9.599pt;height:.6pt;mso-position-horizontal-relative:page;mso-position-vertical-relative:paragraph;z-index:-18491904" filled="true" fillcolor="#000000" stroked="false">
            <v:fill type="solid"/>
            <w10:wrap type="none"/>
          </v:rect>
        </w:pict>
      </w:r>
      <w:r>
        <w:rPr>
          <w:rFonts w:ascii="Symbola" w:hAnsi="Symbola" w:cs="Symbola" w:eastAsia="Symbola"/>
          <w:spacing w:val="-1"/>
          <w:w w:val="115"/>
          <w:sz w:val="17"/>
          <w:szCs w:val="17"/>
        </w:rPr>
        <w:t>1</w:t>
      </w:r>
      <w:r>
        <w:rPr>
          <w:rFonts w:ascii="Symbola" w:hAnsi="Symbola" w:cs="Symbola" w:eastAsia="Symbola"/>
          <w:w w:val="93"/>
          <w:sz w:val="17"/>
          <w:szCs w:val="17"/>
        </w:rPr>
        <w:t>+</w:t>
      </w:r>
      <w:r>
        <w:rPr>
          <w:rFonts w:ascii="Symbola" w:hAnsi="Symbola" w:cs="Symbola" w:eastAsia="Symbola"/>
          <w:w w:val="49"/>
          <w:sz w:val="17"/>
          <w:szCs w:val="17"/>
        </w:rPr>
        <w:t>�</w:t>
      </w:r>
      <w:r>
        <w:rPr>
          <w:rFonts w:ascii="Symbola" w:hAnsi="Symbola" w:cs="Symbola" w:eastAsia="Symbola"/>
          <w:spacing w:val="-1"/>
          <w:w w:val="129"/>
          <w:position w:val="-8"/>
          <w:sz w:val="14"/>
          <w:szCs w:val="14"/>
        </w:rPr>
        <w:t>𝑅</w:t>
      </w:r>
      <w:r>
        <w:rPr>
          <w:rFonts w:ascii="Symbola" w:hAnsi="Symbola" w:cs="Symbola" w:eastAsia="Symbola"/>
          <w:spacing w:val="8"/>
          <w:w w:val="118"/>
          <w:position w:val="-11"/>
          <w:sz w:val="14"/>
          <w:szCs w:val="14"/>
        </w:rPr>
        <w:t>0</w:t>
      </w:r>
      <w:r>
        <w:rPr>
          <w:rFonts w:ascii="Symbola" w:hAnsi="Symbola" w:cs="Symbola" w:eastAsia="Symbola"/>
          <w:w w:val="49"/>
          <w:sz w:val="17"/>
          <w:szCs w:val="17"/>
        </w:rPr>
        <w:t>�</w:t>
      </w:r>
    </w:p>
    <w:p>
      <w:pPr>
        <w:pStyle w:val="BodyText"/>
        <w:rPr>
          <w:rFonts w:ascii="Symbola"/>
          <w:sz w:val="31"/>
        </w:rPr>
      </w:pPr>
    </w:p>
    <w:p>
      <w:pPr>
        <w:pStyle w:val="BodyText"/>
        <w:tabs>
          <w:tab w:pos="955" w:val="left" w:leader="none"/>
        </w:tabs>
        <w:spacing w:line="179" w:lineRule="exact"/>
        <w:ind w:right="1510"/>
        <w:jc w:val="center"/>
        <w:rPr>
          <w:rFonts w:ascii="Symbola"/>
        </w:rPr>
      </w:pPr>
      <w:r>
        <w:rPr/>
        <w:pict>
          <v:rect style="position:absolute;margin-left:268.079987pt;margin-top:5.569149pt;width:32.279000pt;height:.841pt;mso-position-horizontal-relative:page;mso-position-vertical-relative:paragraph;z-index:-18491392" filled="true" fillcolor="#000000" stroked="false">
            <v:fill type="solid"/>
            <w10:wrap type="none"/>
          </v:rect>
        </w:pict>
      </w:r>
      <w:r>
        <w:rPr>
          <w:rFonts w:ascii="Symbola"/>
        </w:rPr>
        <w:t>0.8</w:t>
      </w:r>
      <w:r>
        <w:rPr>
          <w:rFonts w:ascii="Symbola"/>
          <w:spacing w:val="8"/>
        </w:rPr>
        <w:t> </w:t>
      </w:r>
      <w:r>
        <w:rPr>
          <w:rFonts w:ascii="Symbola"/>
        </w:rPr>
        <w:t>=</w:t>
        <w:tab/>
      </w:r>
      <w:r>
        <w:rPr>
          <w:rFonts w:ascii="Symbola"/>
          <w:vertAlign w:val="superscript"/>
        </w:rPr>
        <w:t>1</w:t>
      </w:r>
    </w:p>
    <w:p>
      <w:pPr>
        <w:spacing w:line="240" w:lineRule="auto" w:before="0"/>
        <w:ind w:left="56" w:right="617" w:firstLine="0"/>
        <w:jc w:val="center"/>
        <w:rPr>
          <w:rFonts w:ascii="Symbola" w:hAnsi="Symbola" w:cs="Symbola" w:eastAsia="Symbola"/>
          <w:sz w:val="14"/>
          <w:szCs w:val="14"/>
        </w:rPr>
      </w:pPr>
      <w:r>
        <w:rPr/>
        <w:pict>
          <v:shape style="position:absolute;margin-left:283.442413pt;margin-top:10.694212pt;width:8.25pt;height:8.2pt;mso-position-horizontal-relative:page;mso-position-vertical-relative:paragraph;z-index:-18489856" type="#_x0000_t202" filled="false" stroked="false">
            <v:textbox inset="0,0,0,0">
              <w:txbxContent>
                <w:p>
                  <w:pPr>
                    <w:spacing w:before="22"/>
                    <w:ind w:left="0" w:right="0" w:firstLine="0"/>
                    <w:jc w:val="left"/>
                    <w:rPr>
                      <w:rFonts w:ascii="Symbola"/>
                      <w:sz w:val="14"/>
                    </w:rPr>
                  </w:pPr>
                  <w:r>
                    <w:rPr>
                      <w:rFonts w:ascii="Symbola"/>
                      <w:w w:val="115"/>
                      <w:sz w:val="14"/>
                    </w:rPr>
                    <w:t>40</w:t>
                  </w:r>
                </w:p>
              </w:txbxContent>
            </v:textbox>
            <w10:wrap type="none"/>
          </v:shape>
        </w:pict>
      </w:r>
      <w:r>
        <w:rPr>
          <w:rFonts w:ascii="Symbola" w:hAnsi="Symbola" w:cs="Symbola" w:eastAsia="Symbola"/>
          <w:spacing w:val="-1"/>
          <w:w w:val="115"/>
          <w:sz w:val="17"/>
          <w:szCs w:val="17"/>
        </w:rPr>
        <w:t>1</w:t>
      </w:r>
      <w:r>
        <w:rPr>
          <w:rFonts w:ascii="Symbola" w:hAnsi="Symbola" w:cs="Symbola" w:eastAsia="Symbola"/>
          <w:w w:val="93"/>
          <w:sz w:val="17"/>
          <w:szCs w:val="17"/>
        </w:rPr>
        <w:t>+</w:t>
      </w:r>
      <w:r>
        <w:rPr>
          <w:rFonts w:ascii="Symbola" w:hAnsi="Symbola" w:cs="Symbola" w:eastAsia="Symbola"/>
          <w:w w:val="49"/>
          <w:sz w:val="17"/>
          <w:szCs w:val="17"/>
        </w:rPr>
        <w:t>�</w:t>
      </w:r>
      <w:r>
        <w:rPr>
          <w:spacing w:val="8"/>
          <w:w w:val="99"/>
          <w:position w:val="10"/>
          <w:sz w:val="14"/>
          <w:szCs w:val="14"/>
          <w:u w:val="single"/>
        </w:rPr>
        <w:t> </w:t>
      </w:r>
      <w:r>
        <w:rPr>
          <w:rFonts w:ascii="Symbola" w:hAnsi="Symbola" w:cs="Symbola" w:eastAsia="Symbola"/>
          <w:w w:val="100"/>
          <w:position w:val="10"/>
          <w:sz w:val="14"/>
          <w:szCs w:val="14"/>
          <w:u w:val="single"/>
        </w:rPr>
        <w:t>𝑟</w:t>
      </w:r>
      <w:r>
        <w:rPr>
          <w:rFonts w:ascii="Symbola" w:hAnsi="Symbola" w:cs="Symbola" w:eastAsia="Symbola"/>
          <w:spacing w:val="8"/>
          <w:position w:val="10"/>
          <w:sz w:val="14"/>
          <w:szCs w:val="14"/>
        </w:rPr>
        <w:t> </w:t>
      </w:r>
      <w:r>
        <w:rPr>
          <w:rFonts w:ascii="Symbola" w:hAnsi="Symbola" w:cs="Symbola" w:eastAsia="Symbola"/>
          <w:w w:val="49"/>
          <w:sz w:val="17"/>
          <w:szCs w:val="17"/>
        </w:rPr>
        <w:t>�</w:t>
      </w:r>
      <w:r>
        <w:rPr>
          <w:rFonts w:ascii="Symbola" w:hAnsi="Symbola" w:cs="Symbola" w:eastAsia="Symbola"/>
          <w:w w:val="118"/>
          <w:position w:val="15"/>
          <w:sz w:val="14"/>
          <w:szCs w:val="14"/>
        </w:rPr>
        <w:t>6</w:t>
      </w:r>
    </w:p>
    <w:p>
      <w:pPr>
        <w:pStyle w:val="BodyText"/>
        <w:spacing w:before="5"/>
        <w:rPr>
          <w:rFonts w:ascii="Symbola"/>
          <w:sz w:val="11"/>
        </w:rPr>
      </w:pPr>
    </w:p>
    <w:p>
      <w:pPr>
        <w:spacing w:after="0"/>
        <w:rPr>
          <w:rFonts w:ascii="Symbola"/>
          <w:sz w:val="11"/>
        </w:rPr>
        <w:sectPr>
          <w:pgSz w:w="11910" w:h="16840"/>
          <w:pgMar w:header="722" w:footer="748" w:top="1300" w:bottom="940" w:left="1500" w:right="1480"/>
        </w:sectPr>
      </w:pPr>
    </w:p>
    <w:p>
      <w:pPr>
        <w:spacing w:line="301" w:lineRule="exact" w:before="133"/>
        <w:ind w:left="0" w:right="0" w:firstLine="0"/>
        <w:jc w:val="right"/>
        <w:rPr>
          <w:rFonts w:ascii="Symbola" w:hAnsi="Symbola" w:cs="Symbola" w:eastAsia="Symbola"/>
          <w:sz w:val="17"/>
          <w:szCs w:val="17"/>
        </w:rPr>
      </w:pPr>
      <w:r>
        <w:rPr/>
        <w:pict>
          <v:rect style="position:absolute;margin-left:260.880005pt;margin-top:19.974529pt;width:9.84pt;height:.841pt;mso-position-horizontal-relative:page;mso-position-vertical-relative:paragraph;z-index:15776768" filled="true" fillcolor="#000000" stroked="false">
            <v:fill type="solid"/>
            <w10:wrap type="none"/>
          </v:rect>
        </w:pict>
      </w:r>
      <w:r>
        <w:rPr/>
        <w:pict>
          <v:rect style="position:absolute;margin-left:291.720001pt;margin-top:19.974529pt;width:11.52pt;height:.841pt;mso-position-horizontal-relative:page;mso-position-vertical-relative:paragraph;z-index:15777280" filled="true" fillcolor="#000000" stroked="false">
            <v:fill type="solid"/>
            <w10:wrap type="none"/>
          </v:rect>
        </w:pict>
      </w:r>
      <w:r>
        <w:rPr/>
        <w:pict>
          <v:shape style="position:absolute;margin-left:270.720001pt;margin-top:12.413186pt;width:5.9pt;height:14.1pt;mso-position-horizontal-relative:page;mso-position-vertical-relative:paragraph;z-index:-18489344" type="#_x0000_t202" filled="false" stroked="false">
            <v:textbox inset="0,0,0,0">
              <w:txbxContent>
                <w:p>
                  <w:pPr>
                    <w:pStyle w:val="BodyText"/>
                    <w:spacing w:before="40"/>
                    <w:rPr>
                      <w:rFonts w:ascii="Symbola" w:hAnsi="Symbola" w:cs="Symbola" w:eastAsia="Symbola"/>
                    </w:rPr>
                  </w:pPr>
                  <w:r>
                    <w:rPr>
                      <w:rFonts w:ascii="Symbola" w:hAnsi="Symbola" w:cs="Symbola" w:eastAsia="Symbola"/>
                      <w:w w:val="49"/>
                    </w:rPr>
                    <w:t>�</w:t>
                  </w:r>
                </w:p>
              </w:txbxContent>
            </v:textbox>
            <w10:wrap type="none"/>
          </v:shape>
        </w:pict>
      </w:r>
      <w:r>
        <w:rPr>
          <w:rFonts w:ascii="Symbola" w:hAnsi="Symbola" w:cs="Symbola" w:eastAsia="Symbola"/>
          <w:sz w:val="24"/>
          <w:szCs w:val="24"/>
        </w:rPr>
        <w:t>1 + </w:t>
      </w:r>
      <w:r>
        <w:rPr>
          <w:rFonts w:ascii="Symbola" w:hAnsi="Symbola" w:cs="Symbola" w:eastAsia="Symbola"/>
          <w:w w:val="80"/>
          <w:sz w:val="24"/>
          <w:szCs w:val="24"/>
        </w:rPr>
        <w:t>� </w:t>
      </w:r>
      <w:r>
        <w:rPr>
          <w:rFonts w:ascii="Symbola" w:hAnsi="Symbola" w:cs="Symbola" w:eastAsia="Symbola"/>
          <w:position w:val="14"/>
          <w:sz w:val="17"/>
          <w:szCs w:val="17"/>
        </w:rPr>
        <w:t>𝑟 </w:t>
      </w:r>
      <w:r>
        <w:rPr>
          <w:rFonts w:ascii="Symbola" w:hAnsi="Symbola" w:cs="Symbola" w:eastAsia="Symbola"/>
          <w:position w:val="21"/>
          <w:sz w:val="17"/>
          <w:szCs w:val="17"/>
        </w:rPr>
        <w:t>6</w:t>
      </w:r>
      <w:r>
        <w:rPr>
          <w:sz w:val="24"/>
          <w:szCs w:val="24"/>
        </w:rPr>
        <w:t>= </w:t>
      </w:r>
      <w:r>
        <w:rPr>
          <w:rFonts w:ascii="Symbola" w:hAnsi="Symbola" w:cs="Symbola" w:eastAsia="Symbola"/>
          <w:position w:val="14"/>
          <w:sz w:val="17"/>
          <w:szCs w:val="17"/>
        </w:rPr>
        <w:t>1</w:t>
      </w:r>
    </w:p>
    <w:p>
      <w:pPr>
        <w:pStyle w:val="BodyText"/>
        <w:spacing w:before="8"/>
        <w:rPr>
          <w:rFonts w:ascii="Symbola"/>
          <w:sz w:val="28"/>
        </w:rPr>
      </w:pPr>
      <w:r>
        <w:rPr/>
        <w:br w:type="column"/>
      </w:r>
      <w:r>
        <w:rPr>
          <w:rFonts w:ascii="Symbola"/>
          <w:sz w:val="28"/>
        </w:rPr>
      </w:r>
    </w:p>
    <w:p>
      <w:pPr>
        <w:pStyle w:val="BodyText"/>
        <w:spacing w:line="146" w:lineRule="exact"/>
        <w:ind w:left="94"/>
        <w:rPr>
          <w:rFonts w:ascii="Symbola"/>
        </w:rPr>
      </w:pPr>
      <w:r>
        <w:rPr>
          <w:rFonts w:ascii="Symbola"/>
        </w:rPr>
        <w:t>= 1.25</w:t>
      </w:r>
    </w:p>
    <w:p>
      <w:pPr>
        <w:spacing w:after="0" w:line="146" w:lineRule="exact"/>
        <w:rPr>
          <w:rFonts w:ascii="Symbola"/>
        </w:rPr>
        <w:sectPr>
          <w:type w:val="continuous"/>
          <w:pgSz w:w="11910" w:h="16840"/>
          <w:pgMar w:top="1300" w:bottom="940" w:left="1500" w:right="1480"/>
          <w:cols w:num="2" w:equalWidth="0">
            <w:col w:w="4498" w:space="40"/>
            <w:col w:w="4392"/>
          </w:cols>
        </w:sectPr>
      </w:pPr>
    </w:p>
    <w:p>
      <w:pPr>
        <w:tabs>
          <w:tab w:pos="616" w:val="left" w:leader="none"/>
        </w:tabs>
        <w:spacing w:before="28"/>
        <w:ind w:left="0" w:right="639" w:firstLine="0"/>
        <w:jc w:val="center"/>
        <w:rPr>
          <w:rFonts w:ascii="Symbola"/>
          <w:sz w:val="17"/>
        </w:rPr>
      </w:pPr>
      <w:r>
        <w:rPr>
          <w:rFonts w:ascii="Symbola"/>
          <w:w w:val="110"/>
          <w:sz w:val="17"/>
        </w:rPr>
        <w:t>40</w:t>
        <w:tab/>
        <w:t>0.8</w:t>
      </w:r>
    </w:p>
    <w:p>
      <w:pPr>
        <w:spacing w:after="0"/>
        <w:jc w:val="center"/>
        <w:rPr>
          <w:rFonts w:ascii="Symbola"/>
          <w:sz w:val="17"/>
        </w:rPr>
        <w:sectPr>
          <w:type w:val="continuous"/>
          <w:pgSz w:w="11910" w:h="16840"/>
          <w:pgMar w:top="1300" w:bottom="940" w:left="1500" w:right="1480"/>
        </w:sectPr>
      </w:pPr>
    </w:p>
    <w:p>
      <w:pPr>
        <w:spacing w:line="168" w:lineRule="auto" w:before="125"/>
        <w:ind w:left="0" w:right="0" w:firstLine="0"/>
        <w:jc w:val="right"/>
        <w:rPr>
          <w:rFonts w:ascii="Symbola" w:hAnsi="Symbola" w:cs="Symbola" w:eastAsia="Symbola"/>
          <w:sz w:val="17"/>
          <w:szCs w:val="17"/>
        </w:rPr>
      </w:pPr>
      <w:r>
        <w:rPr/>
        <w:pict>
          <v:rect style="position:absolute;margin-left:239.880005pt;margin-top:20.071604pt;width:9.841pt;height:.84pt;mso-position-horizontal-relative:page;mso-position-vertical-relative:paragraph;z-index:-18488320" filled="true" fillcolor="#000000" stroked="false">
            <v:fill type="solid"/>
            <w10:wrap type="none"/>
          </v:rect>
        </w:pict>
      </w:r>
      <w:r>
        <w:rPr/>
        <w:pict>
          <v:shape style="position:absolute;margin-left:249.720001pt;margin-top:12.50926pt;width:5.9pt;height:14.1pt;mso-position-horizontal-relative:page;mso-position-vertical-relative:paragraph;z-index:-18487296" type="#_x0000_t202" filled="false" stroked="false">
            <v:textbox inset="0,0,0,0">
              <w:txbxContent>
                <w:p>
                  <w:pPr>
                    <w:pStyle w:val="BodyText"/>
                    <w:spacing w:before="40"/>
                    <w:rPr>
                      <w:rFonts w:ascii="Symbola" w:hAnsi="Symbola" w:cs="Symbola" w:eastAsia="Symbola"/>
                    </w:rPr>
                  </w:pPr>
                  <w:r>
                    <w:rPr>
                      <w:rFonts w:ascii="Symbola" w:hAnsi="Symbola" w:cs="Symbola" w:eastAsia="Symbola"/>
                      <w:w w:val="49"/>
                    </w:rPr>
                    <w:t>�</w:t>
                  </w:r>
                </w:p>
              </w:txbxContent>
            </v:textbox>
            <w10:wrap type="none"/>
          </v:shape>
        </w:pict>
      </w:r>
      <w:r>
        <w:rPr>
          <w:rFonts w:ascii="Symbola" w:hAnsi="Symbola" w:cs="Symbola" w:eastAsia="Symbola"/>
          <w:w w:val="75"/>
          <w:position w:val="-20"/>
          <w:sz w:val="24"/>
          <w:szCs w:val="24"/>
        </w:rPr>
        <w:t>� </w:t>
      </w:r>
      <w:r>
        <w:rPr>
          <w:rFonts w:ascii="Symbola" w:hAnsi="Symbola" w:cs="Symbola" w:eastAsia="Symbola"/>
          <w:position w:val="-6"/>
          <w:sz w:val="17"/>
          <w:szCs w:val="17"/>
        </w:rPr>
        <w:t>𝑟 </w:t>
      </w:r>
      <w:r>
        <w:rPr>
          <w:rFonts w:ascii="Symbola" w:hAnsi="Symbola" w:cs="Symbola" w:eastAsia="Symbola"/>
          <w:sz w:val="17"/>
          <w:szCs w:val="17"/>
        </w:rPr>
        <w:t>6</w:t>
      </w:r>
    </w:p>
    <w:p>
      <w:pPr>
        <w:spacing w:before="14"/>
        <w:ind w:left="3297" w:right="0" w:firstLine="0"/>
        <w:jc w:val="left"/>
        <w:rPr>
          <w:rFonts w:ascii="Symbola"/>
          <w:sz w:val="17"/>
        </w:rPr>
      </w:pPr>
      <w:r>
        <w:rPr>
          <w:rFonts w:ascii="Symbola"/>
          <w:w w:val="115"/>
          <w:sz w:val="17"/>
        </w:rPr>
        <w:t>40</w:t>
      </w:r>
    </w:p>
    <w:p>
      <w:pPr>
        <w:pStyle w:val="BodyText"/>
        <w:spacing w:before="4"/>
        <w:rPr>
          <w:rFonts w:ascii="Symbola"/>
          <w:sz w:val="27"/>
        </w:rPr>
      </w:pPr>
    </w:p>
    <w:p>
      <w:pPr>
        <w:spacing w:line="37" w:lineRule="exact" w:before="0"/>
        <w:ind w:left="3230" w:right="0" w:firstLine="0"/>
        <w:jc w:val="left"/>
        <w:rPr>
          <w:rFonts w:ascii="Symbola" w:eastAsia="Symbola"/>
          <w:sz w:val="17"/>
        </w:rPr>
      </w:pPr>
      <w:r>
        <w:rPr>
          <w:rFonts w:ascii="Symbola" w:eastAsia="Symbola"/>
          <w:sz w:val="17"/>
        </w:rPr>
        <w:t>𝑟</w:t>
      </w:r>
    </w:p>
    <w:p>
      <w:pPr>
        <w:pStyle w:val="BodyText"/>
        <w:spacing w:before="4"/>
        <w:rPr>
          <w:rFonts w:ascii="Symbola"/>
          <w:sz w:val="25"/>
        </w:rPr>
      </w:pPr>
      <w:r>
        <w:rPr/>
        <w:br w:type="column"/>
      </w:r>
      <w:r>
        <w:rPr>
          <w:rFonts w:ascii="Symbola"/>
          <w:sz w:val="25"/>
        </w:rPr>
      </w:r>
    </w:p>
    <w:p>
      <w:pPr>
        <w:pStyle w:val="BodyText"/>
        <w:ind w:left="36"/>
      </w:pPr>
      <w:r>
        <w:rPr>
          <w:rFonts w:ascii="Symbola" w:hAnsi="Symbola"/>
        </w:rPr>
        <w:t>= 1.25 − 1 </w:t>
      </w:r>
      <w:r>
        <w:rPr/>
        <w:t>= 0.25</w:t>
      </w:r>
    </w:p>
    <w:p>
      <w:pPr>
        <w:pStyle w:val="BodyText"/>
        <w:spacing w:before="5"/>
        <w:rPr>
          <w:sz w:val="28"/>
        </w:rPr>
      </w:pPr>
    </w:p>
    <w:p>
      <w:pPr>
        <w:spacing w:line="88" w:lineRule="exact" w:before="1"/>
        <w:ind w:left="639" w:right="0" w:firstLine="0"/>
        <w:jc w:val="left"/>
        <w:rPr>
          <w:rFonts w:ascii="Symbola"/>
          <w:sz w:val="14"/>
        </w:rPr>
      </w:pPr>
      <w:r>
        <w:rPr>
          <w:rFonts w:ascii="Symbola"/>
          <w:w w:val="118"/>
          <w:sz w:val="14"/>
        </w:rPr>
        <w:t>1</w:t>
      </w:r>
    </w:p>
    <w:p>
      <w:pPr>
        <w:pStyle w:val="BodyText"/>
        <w:spacing w:before="7"/>
        <w:rPr>
          <w:rFonts w:ascii="Symbola"/>
          <w:sz w:val="6"/>
        </w:rPr>
      </w:pPr>
    </w:p>
    <w:p>
      <w:pPr>
        <w:pStyle w:val="BodyText"/>
        <w:spacing w:line="20" w:lineRule="exact"/>
        <w:ind w:left="639"/>
        <w:rPr>
          <w:rFonts w:ascii="Symbola"/>
          <w:sz w:val="2"/>
        </w:rPr>
      </w:pPr>
      <w:r>
        <w:rPr>
          <w:rFonts w:ascii="Symbola"/>
          <w:sz w:val="2"/>
        </w:rPr>
        <w:pict>
          <v:group style="width:4.2pt;height:.6pt;mso-position-horizontal-relative:char;mso-position-vertical-relative:line" coordorigin="0,0" coordsize="84,12">
            <v:rect style="position:absolute;left:0;top:0;width:84;height:12" filled="true" fillcolor="#000000" stroked="false">
              <v:fill type="solid"/>
            </v:rect>
          </v:group>
        </w:pict>
      </w:r>
      <w:r>
        <w:rPr>
          <w:rFonts w:ascii="Symbola"/>
          <w:sz w:val="2"/>
        </w:rPr>
      </w:r>
    </w:p>
    <w:p>
      <w:pPr>
        <w:spacing w:after="0" w:line="20" w:lineRule="exact"/>
        <w:rPr>
          <w:rFonts w:ascii="Symbola"/>
          <w:sz w:val="2"/>
        </w:rPr>
        <w:sectPr>
          <w:pgSz w:w="11910" w:h="16840"/>
          <w:pgMar w:header="722" w:footer="748" w:top="1300" w:bottom="940" w:left="1500" w:right="1480"/>
          <w:cols w:num="2" w:equalWidth="0">
            <w:col w:w="3711" w:space="40"/>
            <w:col w:w="5179"/>
          </w:cols>
        </w:sectPr>
      </w:pPr>
    </w:p>
    <w:p>
      <w:pPr>
        <w:pStyle w:val="BodyText"/>
        <w:spacing w:line="170" w:lineRule="exact"/>
        <w:ind w:left="535" w:right="617"/>
        <w:jc w:val="center"/>
      </w:pPr>
      <w:r>
        <w:rPr/>
        <w:pict>
          <v:rect style="position:absolute;margin-left:234pt;margin-top:3.690188pt;width:9.84pt;height:.84pt;mso-position-horizontal-relative:page;mso-position-vertical-relative:paragraph;z-index:15779840" filled="true" fillcolor="#000000" stroked="false">
            <v:fill type="solid"/>
            <w10:wrap type="none"/>
          </v:rect>
        </w:pict>
      </w:r>
      <w:r>
        <w:rPr>
          <w:rFonts w:ascii="Symbola"/>
          <w:w w:val="105"/>
        </w:rPr>
        <w:t>=  </w:t>
      </w:r>
      <w:r>
        <w:rPr>
          <w:rFonts w:ascii="Symbola"/>
          <w:w w:val="105"/>
          <w:position w:val="1"/>
        </w:rPr>
        <w:t>(</w:t>
      </w:r>
      <w:r>
        <w:rPr>
          <w:rFonts w:ascii="Symbola"/>
          <w:w w:val="105"/>
        </w:rPr>
        <w:t>0.25</w:t>
      </w:r>
      <w:r>
        <w:rPr>
          <w:rFonts w:ascii="Symbola"/>
          <w:w w:val="105"/>
          <w:position w:val="1"/>
        </w:rPr>
        <w:t>)</w:t>
      </w:r>
      <w:r>
        <w:rPr>
          <w:rFonts w:ascii="Symbola"/>
          <w:w w:val="105"/>
          <w:position w:val="3"/>
          <w:sz w:val="14"/>
        </w:rPr>
        <w:t>6  </w:t>
      </w:r>
      <w:r>
        <w:rPr>
          <w:w w:val="105"/>
        </w:rPr>
        <w:t>= 0.7937</w:t>
      </w:r>
    </w:p>
    <w:p>
      <w:pPr>
        <w:spacing w:line="137" w:lineRule="exact" w:before="0"/>
        <w:ind w:left="1254" w:right="3621" w:firstLine="0"/>
        <w:jc w:val="center"/>
        <w:rPr>
          <w:rFonts w:ascii="Symbola"/>
          <w:sz w:val="17"/>
        </w:rPr>
      </w:pPr>
      <w:r>
        <w:rPr>
          <w:rFonts w:ascii="Symbola"/>
          <w:w w:val="115"/>
          <w:sz w:val="17"/>
        </w:rPr>
        <w:t>40</w:t>
      </w:r>
    </w:p>
    <w:p>
      <w:pPr>
        <w:pStyle w:val="BodyText"/>
        <w:spacing w:before="5"/>
        <w:rPr>
          <w:rFonts w:ascii="Symbola"/>
          <w:sz w:val="10"/>
        </w:rPr>
      </w:pPr>
    </w:p>
    <w:p>
      <w:pPr>
        <w:pStyle w:val="BodyText"/>
        <w:spacing w:before="104"/>
        <w:ind w:left="3180"/>
      </w:pPr>
      <w:r>
        <w:rPr>
          <w:rFonts w:ascii="Symbola" w:hAnsi="Symbola" w:eastAsia="Symbola"/>
        </w:rPr>
        <w:t>𝑟 </w:t>
      </w:r>
      <w:r>
        <w:rPr/>
        <w:t>= 0.7937 × 40 = 31.748 nm ≈ 31.75 nm</w:t>
      </w:r>
    </w:p>
    <w:p>
      <w:pPr>
        <w:spacing w:after="0"/>
        <w:sectPr>
          <w:type w:val="continuous"/>
          <w:pgSz w:w="11910" w:h="16840"/>
          <w:pgMar w:top="1300" w:bottom="940" w:left="1500" w:right="1480"/>
        </w:sectPr>
      </w:pPr>
    </w:p>
    <w:p>
      <w:pPr>
        <w:pStyle w:val="Heading2"/>
        <w:jc w:val="left"/>
      </w:pPr>
      <w:r>
        <w:rPr/>
        <w:t>Lecture 8 Circular Dichroism Spectroscopy-I</w:t>
      </w:r>
    </w:p>
    <w:p>
      <w:pPr>
        <w:pStyle w:val="BodyText"/>
        <w:spacing w:before="4"/>
        <w:rPr>
          <w:b/>
          <w:sz w:val="33"/>
        </w:rPr>
      </w:pPr>
    </w:p>
    <w:p>
      <w:pPr>
        <w:pStyle w:val="Heading4"/>
        <w:jc w:val="left"/>
      </w:pPr>
      <w:r>
        <w:rPr/>
        <w:t>Introduction</w:t>
      </w:r>
    </w:p>
    <w:p>
      <w:pPr>
        <w:pStyle w:val="BodyText"/>
        <w:spacing w:line="360" w:lineRule="auto" w:before="134"/>
        <w:ind w:left="300" w:right="315"/>
        <w:jc w:val="both"/>
      </w:pPr>
      <w:r>
        <w:rPr/>
        <w:t>Before going ahead to see what circular dichroism (abbreviated as CD) means, let us have a quick revisit on the polarized light. Light, as we have discussed in lecture 3 is electromagnetic radiation where electric field and the magnetic field are always perpendicular to each other. From now on, we shall mention only electric field; it is implicit that at all points in time and space, the magnetic field vector is perpendicular to both the electric field vector and the direction of the propagation of light. Unpolarized light is comprised of several electromagnetic waves with their electric field vectors (and therefore magnetic field vectors also) pointing in all possible directions, but perpendicular to the direction of light propagation. If the vectors in all, but one, directions are cut off, the resulting radiation is a plane polarized light as the electric field vector is confined to one plane (Figure 8.1). Looking towards the light source will exhibit electric field fluctuations in one line; the plane polarized light is therefore also referred to as the linearly polarized light.</w:t>
      </w:r>
    </w:p>
    <w:p>
      <w:pPr>
        <w:pStyle w:val="BodyText"/>
        <w:spacing w:before="10"/>
        <w:rPr>
          <w:sz w:val="15"/>
        </w:rPr>
      </w:pPr>
      <w:r>
        <w:rPr/>
        <w:drawing>
          <wp:anchor distT="0" distB="0" distL="0" distR="0" allowOverlap="1" layoutInCell="1" locked="0" behindDoc="0" simplePos="0" relativeHeight="102">
            <wp:simplePos x="0" y="0"/>
            <wp:positionH relativeFrom="page">
              <wp:posOffset>2037476</wp:posOffset>
            </wp:positionH>
            <wp:positionV relativeFrom="paragraph">
              <wp:posOffset>141176</wp:posOffset>
            </wp:positionV>
            <wp:extent cx="3658643" cy="2045207"/>
            <wp:effectExtent l="0" t="0" r="0" b="0"/>
            <wp:wrapTopAndBottom/>
            <wp:docPr id="85" name="image46.jpeg" descr="Figure 8.1.TIF"/>
            <wp:cNvGraphicFramePr>
              <a:graphicFrameLocks noChangeAspect="1"/>
            </wp:cNvGraphicFramePr>
            <a:graphic>
              <a:graphicData uri="http://schemas.openxmlformats.org/drawingml/2006/picture">
                <pic:pic>
                  <pic:nvPicPr>
                    <pic:cNvPr id="86" name="image46.jpeg"/>
                    <pic:cNvPicPr/>
                  </pic:nvPicPr>
                  <pic:blipFill>
                    <a:blip r:embed="rId54" cstate="print"/>
                    <a:stretch>
                      <a:fillRect/>
                    </a:stretch>
                  </pic:blipFill>
                  <pic:spPr>
                    <a:xfrm>
                      <a:off x="0" y="0"/>
                      <a:ext cx="3658643" cy="2045207"/>
                    </a:xfrm>
                    <a:prstGeom prst="rect">
                      <a:avLst/>
                    </a:prstGeom>
                  </pic:spPr>
                </pic:pic>
              </a:graphicData>
            </a:graphic>
          </wp:anchor>
        </w:drawing>
      </w:r>
    </w:p>
    <w:p>
      <w:pPr>
        <w:pStyle w:val="BodyText"/>
        <w:spacing w:before="11"/>
        <w:rPr>
          <w:sz w:val="26"/>
        </w:rPr>
      </w:pPr>
    </w:p>
    <w:p>
      <w:pPr>
        <w:spacing w:before="0"/>
        <w:ind w:left="793" w:right="617" w:firstLine="0"/>
        <w:jc w:val="center"/>
        <w:rPr>
          <w:b/>
          <w:sz w:val="16"/>
        </w:rPr>
      </w:pPr>
      <w:r>
        <w:rPr>
          <w:b/>
          <w:sz w:val="16"/>
        </w:rPr>
        <w:t>Figure 8.1 Plane polarized light produced by a linear polarizer</w:t>
      </w:r>
    </w:p>
    <w:p>
      <w:pPr>
        <w:spacing w:after="0"/>
        <w:jc w:val="center"/>
        <w:rPr>
          <w:sz w:val="16"/>
        </w:rPr>
        <w:sectPr>
          <w:pgSz w:w="11910" w:h="16840"/>
          <w:pgMar w:header="722" w:footer="748" w:top="1300" w:bottom="940" w:left="1500" w:right="1480"/>
        </w:sectPr>
      </w:pPr>
    </w:p>
    <w:p>
      <w:pPr>
        <w:pStyle w:val="Heading4"/>
        <w:spacing w:before="124"/>
      </w:pPr>
      <w:r>
        <w:rPr/>
        <w:t>Superposition of polarized waves</w:t>
      </w:r>
    </w:p>
    <w:p>
      <w:pPr>
        <w:pStyle w:val="BodyText"/>
        <w:spacing w:line="360" w:lineRule="auto" w:before="132"/>
        <w:ind w:left="299" w:right="317"/>
        <w:jc w:val="both"/>
      </w:pPr>
      <w:r>
        <w:rPr/>
        <w:t>Two electromagnetic waves can be superposed through vector addition of their electric field vectors. The properties of the resultant waves depend on the wavelength, polarization, and the phase of the superposing waves. In-phase superposition of two waves of same wavelength that are linearly polarized in two perpendicular planes results in a linearly polarized light with its electric field vector oscillating in a plane that is inclined at an angle of 45° to the polarization planes of both the waves (Figure 8.2).</w:t>
      </w:r>
    </w:p>
    <w:p>
      <w:pPr>
        <w:pStyle w:val="BodyText"/>
        <w:spacing w:before="3"/>
        <w:rPr>
          <w:sz w:val="17"/>
        </w:rPr>
      </w:pPr>
      <w:r>
        <w:rPr/>
        <w:drawing>
          <wp:anchor distT="0" distB="0" distL="0" distR="0" allowOverlap="1" layoutInCell="1" locked="0" behindDoc="0" simplePos="0" relativeHeight="103">
            <wp:simplePos x="0" y="0"/>
            <wp:positionH relativeFrom="page">
              <wp:posOffset>1652324</wp:posOffset>
            </wp:positionH>
            <wp:positionV relativeFrom="paragraph">
              <wp:posOffset>151417</wp:posOffset>
            </wp:positionV>
            <wp:extent cx="4408421" cy="3297936"/>
            <wp:effectExtent l="0" t="0" r="0" b="0"/>
            <wp:wrapTopAndBottom/>
            <wp:docPr id="87" name="image47.png" descr="Figure 8.2.TIF"/>
            <wp:cNvGraphicFramePr>
              <a:graphicFrameLocks noChangeAspect="1"/>
            </wp:cNvGraphicFramePr>
            <a:graphic>
              <a:graphicData uri="http://schemas.openxmlformats.org/drawingml/2006/picture">
                <pic:pic>
                  <pic:nvPicPr>
                    <pic:cNvPr id="88" name="image47.png"/>
                    <pic:cNvPicPr/>
                  </pic:nvPicPr>
                  <pic:blipFill>
                    <a:blip r:embed="rId55" cstate="print"/>
                    <a:stretch>
                      <a:fillRect/>
                    </a:stretch>
                  </pic:blipFill>
                  <pic:spPr>
                    <a:xfrm>
                      <a:off x="0" y="0"/>
                      <a:ext cx="4408421" cy="3297936"/>
                    </a:xfrm>
                    <a:prstGeom prst="rect">
                      <a:avLst/>
                    </a:prstGeom>
                  </pic:spPr>
                </pic:pic>
              </a:graphicData>
            </a:graphic>
          </wp:anchor>
        </w:drawing>
      </w:r>
    </w:p>
    <w:p>
      <w:pPr>
        <w:pStyle w:val="BodyText"/>
        <w:rPr>
          <w:sz w:val="27"/>
        </w:rPr>
      </w:pPr>
    </w:p>
    <w:p>
      <w:pPr>
        <w:spacing w:before="0"/>
        <w:ind w:left="796" w:right="617" w:firstLine="0"/>
        <w:jc w:val="center"/>
        <w:rPr>
          <w:b/>
          <w:sz w:val="16"/>
        </w:rPr>
      </w:pPr>
      <w:r>
        <w:rPr>
          <w:b/>
          <w:sz w:val="16"/>
        </w:rPr>
        <w:t>Figure 8.2 Superposition of linearly polarized waves</w:t>
      </w:r>
    </w:p>
    <w:p>
      <w:pPr>
        <w:pStyle w:val="BodyText"/>
        <w:spacing w:before="10"/>
        <w:rPr>
          <w:b/>
        </w:rPr>
      </w:pPr>
    </w:p>
    <w:p>
      <w:pPr>
        <w:pStyle w:val="BodyText"/>
        <w:spacing w:line="360" w:lineRule="auto"/>
        <w:ind w:left="300" w:right="314"/>
        <w:jc w:val="both"/>
      </w:pPr>
      <w:r>
        <w:rPr/>
        <w:t>Let us see what happens when the two plane polarized waves, polarized in two perpendicular planes meet each other out of phase. Suppose the two waves have a phase difference of 90°. As the two waves have same wavelength, a 90° phase difference implies that when one of the wave is at maximum amplitude, the amplitude of the other one is minimum and vice versa. If the amplitudes of the two waves are equal, their superposition with a 90° phase difference results in a wave wherein electric field vector traverses a circular path (Figure 8.3). The electric field of the resultant wave is never zero but a vector of constant length. When looked at the travelling wave from the direction of propagation, the electric field appears to be</w:t>
      </w:r>
    </w:p>
    <w:p>
      <w:pPr>
        <w:spacing w:after="0" w:line="360" w:lineRule="auto"/>
        <w:jc w:val="both"/>
        <w:sectPr>
          <w:pgSz w:w="11910" w:h="16840"/>
          <w:pgMar w:header="722" w:footer="748" w:top="1300" w:bottom="940" w:left="1500" w:right="1480"/>
        </w:sectPr>
      </w:pPr>
    </w:p>
    <w:p>
      <w:pPr>
        <w:pStyle w:val="BodyText"/>
        <w:spacing w:line="360" w:lineRule="auto" w:before="119"/>
        <w:ind w:left="300"/>
      </w:pPr>
      <w:r>
        <w:rPr/>
        <w:t>rotating in a circle. The resulting light is therefore termed as circularly polarized light (Figure 8.3).</w:t>
      </w:r>
    </w:p>
    <w:p>
      <w:pPr>
        <w:pStyle w:val="BodyText"/>
        <w:spacing w:before="7"/>
        <w:rPr>
          <w:sz w:val="17"/>
        </w:rPr>
      </w:pPr>
      <w:r>
        <w:rPr/>
        <w:drawing>
          <wp:anchor distT="0" distB="0" distL="0" distR="0" allowOverlap="1" layoutInCell="1" locked="0" behindDoc="0" simplePos="0" relativeHeight="104">
            <wp:simplePos x="0" y="0"/>
            <wp:positionH relativeFrom="page">
              <wp:posOffset>1348757</wp:posOffset>
            </wp:positionH>
            <wp:positionV relativeFrom="paragraph">
              <wp:posOffset>153549</wp:posOffset>
            </wp:positionV>
            <wp:extent cx="4995530" cy="4923091"/>
            <wp:effectExtent l="0" t="0" r="0" b="0"/>
            <wp:wrapTopAndBottom/>
            <wp:docPr id="89" name="image48.jpeg" descr="Figure 8.3.tif"/>
            <wp:cNvGraphicFramePr>
              <a:graphicFrameLocks noChangeAspect="1"/>
            </wp:cNvGraphicFramePr>
            <a:graphic>
              <a:graphicData uri="http://schemas.openxmlformats.org/drawingml/2006/picture">
                <pic:pic>
                  <pic:nvPicPr>
                    <pic:cNvPr id="90" name="image48.jpeg"/>
                    <pic:cNvPicPr/>
                  </pic:nvPicPr>
                  <pic:blipFill>
                    <a:blip r:embed="rId56" cstate="print"/>
                    <a:stretch>
                      <a:fillRect/>
                    </a:stretch>
                  </pic:blipFill>
                  <pic:spPr>
                    <a:xfrm>
                      <a:off x="0" y="0"/>
                      <a:ext cx="4995530" cy="4923091"/>
                    </a:xfrm>
                    <a:prstGeom prst="rect">
                      <a:avLst/>
                    </a:prstGeom>
                  </pic:spPr>
                </pic:pic>
              </a:graphicData>
            </a:graphic>
          </wp:anchor>
        </w:drawing>
      </w:r>
    </w:p>
    <w:p>
      <w:pPr>
        <w:pStyle w:val="BodyText"/>
        <w:spacing w:before="9"/>
        <w:rPr>
          <w:sz w:val="27"/>
        </w:rPr>
      </w:pPr>
    </w:p>
    <w:p>
      <w:pPr>
        <w:spacing w:line="362" w:lineRule="auto" w:before="0"/>
        <w:ind w:left="496" w:right="0" w:firstLine="0"/>
        <w:jc w:val="left"/>
        <w:rPr>
          <w:b/>
          <w:sz w:val="16"/>
        </w:rPr>
      </w:pPr>
      <w:r>
        <w:rPr>
          <w:b/>
          <w:sz w:val="16"/>
        </w:rPr>
        <w:t>Figure 8.3 Superposition of waves linearly polarized in mutually perpendicular plain and that meet together 90° out of phase.</w:t>
      </w:r>
    </w:p>
    <w:p>
      <w:pPr>
        <w:spacing w:after="0" w:line="362" w:lineRule="auto"/>
        <w:jc w:val="left"/>
        <w:rPr>
          <w:sz w:val="16"/>
        </w:rPr>
        <w:sectPr>
          <w:pgSz w:w="11910" w:h="16840"/>
          <w:pgMar w:header="722" w:footer="748" w:top="1300" w:bottom="940" w:left="1500" w:right="1480"/>
        </w:sectPr>
      </w:pPr>
    </w:p>
    <w:p>
      <w:pPr>
        <w:pStyle w:val="BodyText"/>
        <w:spacing w:line="360" w:lineRule="auto" w:before="119"/>
        <w:ind w:left="299" w:right="314"/>
        <w:jc w:val="both"/>
      </w:pPr>
      <w:r>
        <w:rPr/>
        <w:t>The direction of rotation depends on phase difference; a -90° phase difference would result in a circularly polarized light where the electric field rotates in opposite direction. When looked towards the light source, the electric field vector of a right circularly polarized wave appears to rotate counterclockwise in space while that of a left circularly polarized wave rotates clockwise. What happens when the right circularly polarized light (RCPL) and the left circularly polarized light (LCPL) superpose? The resultant wave is a linearly polarized wave (Figure 8.4). A linearly polarized light can therefore be considered as being composed of a right circularly polarized light and a left circularly polarized light.</w:t>
      </w:r>
    </w:p>
    <w:p>
      <w:pPr>
        <w:pStyle w:val="BodyText"/>
        <w:spacing w:before="1"/>
        <w:rPr>
          <w:sz w:val="18"/>
        </w:rPr>
      </w:pPr>
      <w:r>
        <w:rPr/>
        <w:drawing>
          <wp:anchor distT="0" distB="0" distL="0" distR="0" allowOverlap="1" layoutInCell="1" locked="0" behindDoc="0" simplePos="0" relativeHeight="105">
            <wp:simplePos x="0" y="0"/>
            <wp:positionH relativeFrom="page">
              <wp:posOffset>2462355</wp:posOffset>
            </wp:positionH>
            <wp:positionV relativeFrom="paragraph">
              <wp:posOffset>156895</wp:posOffset>
            </wp:positionV>
            <wp:extent cx="2782896" cy="2249424"/>
            <wp:effectExtent l="0" t="0" r="0" b="0"/>
            <wp:wrapTopAndBottom/>
            <wp:docPr id="91" name="image49.png" descr="Figure 8.4.TIF"/>
            <wp:cNvGraphicFramePr>
              <a:graphicFrameLocks noChangeAspect="1"/>
            </wp:cNvGraphicFramePr>
            <a:graphic>
              <a:graphicData uri="http://schemas.openxmlformats.org/drawingml/2006/picture">
                <pic:pic>
                  <pic:nvPicPr>
                    <pic:cNvPr id="92" name="image49.png"/>
                    <pic:cNvPicPr/>
                  </pic:nvPicPr>
                  <pic:blipFill>
                    <a:blip r:embed="rId57" cstate="print"/>
                    <a:stretch>
                      <a:fillRect/>
                    </a:stretch>
                  </pic:blipFill>
                  <pic:spPr>
                    <a:xfrm>
                      <a:off x="0" y="0"/>
                      <a:ext cx="2782896" cy="2249424"/>
                    </a:xfrm>
                    <a:prstGeom prst="rect">
                      <a:avLst/>
                    </a:prstGeom>
                  </pic:spPr>
                </pic:pic>
              </a:graphicData>
            </a:graphic>
          </wp:anchor>
        </w:drawing>
      </w:r>
    </w:p>
    <w:p>
      <w:pPr>
        <w:pStyle w:val="BodyText"/>
        <w:spacing w:before="7"/>
        <w:rPr>
          <w:sz w:val="30"/>
        </w:rPr>
      </w:pPr>
    </w:p>
    <w:p>
      <w:pPr>
        <w:spacing w:before="0"/>
        <w:ind w:left="292" w:right="115" w:firstLine="0"/>
        <w:jc w:val="center"/>
        <w:rPr>
          <w:b/>
          <w:sz w:val="16"/>
        </w:rPr>
      </w:pPr>
      <w:r>
        <w:rPr>
          <w:b/>
          <w:sz w:val="16"/>
        </w:rPr>
        <w:t>Figure 8.4 Superposition of left and right circularly polarized light resulting in plane polarized light.</w:t>
      </w:r>
    </w:p>
    <w:p>
      <w:pPr>
        <w:pStyle w:val="BodyText"/>
        <w:rPr>
          <w:b/>
          <w:sz w:val="18"/>
        </w:rPr>
      </w:pPr>
    </w:p>
    <w:p>
      <w:pPr>
        <w:pStyle w:val="BodyText"/>
        <w:rPr>
          <w:b/>
          <w:sz w:val="18"/>
        </w:rPr>
      </w:pPr>
    </w:p>
    <w:p>
      <w:pPr>
        <w:pStyle w:val="BodyText"/>
        <w:spacing w:before="5"/>
        <w:rPr>
          <w:b/>
          <w:sz w:val="25"/>
        </w:rPr>
      </w:pPr>
    </w:p>
    <w:p>
      <w:pPr>
        <w:pStyle w:val="Heading4"/>
      </w:pPr>
      <w:r>
        <w:rPr/>
        <w:t>Circular Dichroism</w:t>
      </w:r>
    </w:p>
    <w:p>
      <w:pPr>
        <w:pStyle w:val="BodyText"/>
        <w:spacing w:line="360" w:lineRule="auto" w:before="132"/>
        <w:ind w:left="299" w:right="315"/>
        <w:jc w:val="both"/>
      </w:pPr>
      <w:r>
        <w:rPr/>
        <w:t>Circular dichroism, abbreviated as CD, is a chiroptical spectroscopic method. A chiral molecule or an achiral molecule in asymmetric environment interacts differently with the LCPL and the RCPL. The literal meaning of dichroism is ‘two colors’. In chiroptical spectroscopy, dichroism means differential absorption of the lights with different polarizations. Circular dichroism, therefore, refers to the differential absorption of the left and right circularly polarized light and is defined as:</w:t>
      </w:r>
    </w:p>
    <w:p>
      <w:pPr>
        <w:pStyle w:val="BodyText"/>
        <w:tabs>
          <w:tab w:pos="7499" w:val="left" w:leader="none"/>
        </w:tabs>
        <w:spacing w:line="362" w:lineRule="auto" w:before="3"/>
        <w:ind w:left="1020" w:right="400" w:firstLine="2160"/>
      </w:pPr>
      <w:r>
        <w:rPr>
          <w:rFonts w:ascii="Symbola" w:hAnsi="Symbola" w:eastAsia="Symbola"/>
          <w:w w:val="114"/>
        </w:rPr>
        <w:t>𝐶𝐷</w:t>
      </w:r>
      <w:r>
        <w:rPr>
          <w:rFonts w:ascii="Symbola" w:hAnsi="Symbola" w:eastAsia="Symbola"/>
          <w:spacing w:val="13"/>
        </w:rPr>
        <w:t> </w:t>
      </w:r>
      <w:r>
        <w:rPr>
          <w:rFonts w:ascii="Symbola" w:hAnsi="Symbola" w:eastAsia="Symbola"/>
          <w:w w:val="96"/>
        </w:rPr>
        <w:t>=</w:t>
      </w:r>
      <w:r>
        <w:rPr>
          <w:rFonts w:ascii="Symbola" w:hAnsi="Symbola" w:eastAsia="Symbola"/>
          <w:spacing w:val="5"/>
        </w:rPr>
        <w:t> </w:t>
      </w:r>
      <w:r>
        <w:rPr>
          <w:rFonts w:ascii="Symbola" w:hAnsi="Symbola" w:eastAsia="Symbola"/>
          <w:spacing w:val="1"/>
          <w:w w:val="71"/>
        </w:rPr>
        <w:t>∆</w:t>
      </w:r>
      <w:r>
        <w:rPr>
          <w:rFonts w:ascii="Symbola" w:hAnsi="Symbola" w:eastAsia="Symbola"/>
          <w:w w:val="112"/>
        </w:rPr>
        <w:t>𝐴</w:t>
      </w:r>
      <w:r>
        <w:rPr>
          <w:rFonts w:ascii="Symbola" w:hAnsi="Symbola" w:eastAsia="Symbola"/>
          <w:spacing w:val="8"/>
        </w:rPr>
        <w:t> </w:t>
      </w:r>
      <w:r>
        <w:rPr>
          <w:rFonts w:ascii="Symbola" w:hAnsi="Symbola" w:eastAsia="Symbola"/>
          <w:w w:val="96"/>
        </w:rPr>
        <w:t>=</w:t>
      </w:r>
      <w:r>
        <w:rPr>
          <w:rFonts w:ascii="Symbola" w:hAnsi="Symbola" w:eastAsia="Symbola"/>
        </w:rPr>
        <w:t> </w:t>
      </w:r>
      <w:r>
        <w:rPr>
          <w:rFonts w:ascii="Symbola" w:hAnsi="Symbola" w:eastAsia="Symbola"/>
          <w:spacing w:val="-2"/>
        </w:rPr>
        <w:t> </w:t>
      </w:r>
      <w:r>
        <w:rPr>
          <w:rFonts w:ascii="Symbola" w:hAnsi="Symbola" w:eastAsia="Symbola"/>
          <w:spacing w:val="-1"/>
          <w:w w:val="112"/>
        </w:rPr>
        <w:t>𝐴</w:t>
      </w:r>
      <w:r>
        <w:rPr>
          <w:rFonts w:ascii="Symbola" w:hAnsi="Symbola" w:eastAsia="Symbola"/>
          <w:w w:val="56"/>
          <w:vertAlign w:val="subscript"/>
        </w:rPr>
        <w:t>𝑙</w:t>
      </w:r>
      <w:r>
        <w:rPr>
          <w:rFonts w:ascii="Symbola" w:hAnsi="Symbola" w:eastAsia="Symbola"/>
          <w:spacing w:val="9"/>
          <w:vertAlign w:val="baseline"/>
        </w:rPr>
        <w:t> </w:t>
      </w:r>
      <w:r>
        <w:rPr>
          <w:rFonts w:ascii="Symbola" w:hAnsi="Symbola" w:eastAsia="Symbola"/>
          <w:w w:val="96"/>
          <w:vertAlign w:val="baseline"/>
        </w:rPr>
        <w:t>−</w:t>
      </w:r>
      <w:r>
        <w:rPr>
          <w:rFonts w:ascii="Symbola" w:hAnsi="Symbola" w:eastAsia="Symbola"/>
          <w:spacing w:val="-7"/>
          <w:vertAlign w:val="baseline"/>
        </w:rPr>
        <w:t> </w:t>
      </w:r>
      <w:r>
        <w:rPr>
          <w:rFonts w:ascii="Symbola" w:hAnsi="Symbola" w:eastAsia="Symbola"/>
          <w:spacing w:val="-1"/>
          <w:w w:val="112"/>
          <w:vertAlign w:val="baseline"/>
        </w:rPr>
        <w:t>𝐴</w:t>
      </w:r>
      <w:r>
        <w:rPr>
          <w:rFonts w:ascii="Symbola" w:hAnsi="Symbola" w:eastAsia="Symbola"/>
          <w:w w:val="84"/>
          <w:vertAlign w:val="subscript"/>
        </w:rPr>
        <w:t>𝑟</w:t>
      </w:r>
      <w:r>
        <w:rPr>
          <w:rFonts w:ascii="Symbola" w:hAnsi="Symbola" w:eastAsia="Symbola"/>
          <w:vertAlign w:val="baseline"/>
        </w:rPr>
        <w:t> </w:t>
      </w:r>
      <w:r>
        <w:rPr>
          <w:rFonts w:ascii="Symbola" w:hAnsi="Symbola" w:eastAsia="Symbola"/>
          <w:spacing w:val="3"/>
          <w:vertAlign w:val="baseline"/>
        </w:rPr>
        <w:t> </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vertAlign w:val="baseline"/>
        </w:rPr>
        <w:t>·</w:t>
        <w:tab/>
      </w:r>
      <w:r>
        <w:rPr>
          <w:spacing w:val="-1"/>
          <w:vertAlign w:val="baseline"/>
        </w:rPr>
        <w:t>(</w:t>
      </w:r>
      <w:r>
        <w:rPr>
          <w:vertAlign w:val="baseline"/>
        </w:rPr>
        <w:t>6.1) where, </w:t>
      </w:r>
      <w:r>
        <w:rPr>
          <w:i/>
          <w:vertAlign w:val="baseline"/>
        </w:rPr>
        <w:t>A</w:t>
      </w:r>
      <w:r>
        <w:rPr>
          <w:i/>
          <w:vertAlign w:val="subscript"/>
        </w:rPr>
        <w:t>l</w:t>
      </w:r>
      <w:r>
        <w:rPr>
          <w:i/>
          <w:vertAlign w:val="baseline"/>
        </w:rPr>
        <w:t> </w:t>
      </w:r>
      <w:r>
        <w:rPr>
          <w:vertAlign w:val="baseline"/>
        </w:rPr>
        <w:t>and </w:t>
      </w:r>
      <w:r>
        <w:rPr>
          <w:i/>
          <w:vertAlign w:val="baseline"/>
        </w:rPr>
        <w:t>A</w:t>
      </w:r>
      <w:r>
        <w:rPr>
          <w:i/>
          <w:vertAlign w:val="subscript"/>
        </w:rPr>
        <w:t>r</w:t>
      </w:r>
      <w:r>
        <w:rPr>
          <w:i/>
          <w:vertAlign w:val="baseline"/>
        </w:rPr>
        <w:t> </w:t>
      </w:r>
      <w:r>
        <w:rPr>
          <w:vertAlign w:val="baseline"/>
        </w:rPr>
        <w:t>are the absorbances for the left and right circularly polarized lights,</w:t>
      </w:r>
      <w:r>
        <w:rPr>
          <w:spacing w:val="-1"/>
          <w:vertAlign w:val="baseline"/>
        </w:rPr>
        <w:t> </w:t>
      </w:r>
      <w:r>
        <w:rPr>
          <w:vertAlign w:val="baseline"/>
        </w:rPr>
        <w:t>respectively.</w:t>
      </w:r>
    </w:p>
    <w:p>
      <w:pPr>
        <w:spacing w:after="0" w:line="362" w:lineRule="auto"/>
        <w:sectPr>
          <w:pgSz w:w="11910" w:h="16840"/>
          <w:pgMar w:header="722" w:footer="748" w:top="1300" w:bottom="940" w:left="1500" w:right="1480"/>
        </w:sectPr>
      </w:pPr>
    </w:p>
    <w:p>
      <w:pPr>
        <w:pStyle w:val="BodyText"/>
        <w:spacing w:line="360" w:lineRule="auto" w:before="119"/>
        <w:ind w:left="300" w:right="443"/>
      </w:pPr>
      <w:r>
        <w:rPr/>
        <w:t>We can therefore say that the molar absorption coefficients for the two lights are different and can write the equation 6.1 can be written as:</w:t>
      </w:r>
    </w:p>
    <w:p>
      <w:pPr>
        <w:pStyle w:val="BodyText"/>
        <w:tabs>
          <w:tab w:pos="3189" w:val="left" w:leader="none"/>
          <w:tab w:pos="7499" w:val="left" w:leader="none"/>
        </w:tabs>
        <w:spacing w:before="3"/>
        <w:ind w:left="1020"/>
      </w:pPr>
      <w:r>
        <w:rPr>
          <w:rFonts w:ascii="Symbola" w:hAnsi="Symbola" w:eastAsia="Symbola"/>
          <w:w w:val="114"/>
        </w:rPr>
        <w:t>𝐶𝐷</w:t>
      </w:r>
      <w:r>
        <w:rPr>
          <w:rFonts w:ascii="Symbola" w:hAnsi="Symbola" w:eastAsia="Symbola"/>
          <w:spacing w:val="13"/>
        </w:rPr>
        <w:t> </w:t>
      </w:r>
      <w:r>
        <w:rPr>
          <w:rFonts w:ascii="Symbola" w:hAnsi="Symbola" w:eastAsia="Symbola"/>
          <w:w w:val="96"/>
        </w:rPr>
        <w:t>=</w:t>
      </w:r>
      <w:r>
        <w:rPr>
          <w:rFonts w:ascii="Symbola" w:hAnsi="Symbola" w:eastAsia="Symbola"/>
        </w:rPr>
        <w:t> </w:t>
      </w:r>
      <w:r>
        <w:rPr>
          <w:rFonts w:ascii="Symbola" w:hAnsi="Symbola" w:eastAsia="Symbola"/>
          <w:spacing w:val="-2"/>
        </w:rPr>
        <w:t> </w:t>
      </w:r>
      <w:r>
        <w:rPr>
          <w:rFonts w:ascii="Symbola" w:hAnsi="Symbola" w:eastAsia="Symbola"/>
          <w:spacing w:val="1"/>
          <w:w w:val="124"/>
        </w:rPr>
        <w:t>(</w:t>
      </w:r>
      <w:r>
        <w:rPr>
          <w:rFonts w:ascii="Symbola" w:hAnsi="Symbola" w:eastAsia="Symbola"/>
          <w:spacing w:val="-4"/>
          <w:w w:val="80"/>
        </w:rPr>
        <w:t>𝜀</w:t>
      </w:r>
      <w:r>
        <w:rPr>
          <w:rFonts w:ascii="Symbola" w:hAnsi="Symbola" w:eastAsia="Symbola"/>
          <w:w w:val="56"/>
          <w:vertAlign w:val="subscript"/>
        </w:rPr>
        <w:t>𝑙</w:t>
      </w:r>
      <w:r>
        <w:rPr>
          <w:rFonts w:ascii="Symbola" w:hAnsi="Symbola" w:eastAsia="Symbola"/>
          <w:spacing w:val="7"/>
          <w:vertAlign w:val="baseline"/>
        </w:rPr>
        <w:t> </w:t>
      </w:r>
      <w:r>
        <w:rPr>
          <w:rFonts w:ascii="Symbola" w:hAnsi="Symbola" w:eastAsia="Symbola"/>
          <w:w w:val="96"/>
          <w:vertAlign w:val="baseline"/>
        </w:rPr>
        <w:t>−</w:t>
      </w:r>
      <w:r>
        <w:rPr>
          <w:rFonts w:ascii="Symbola" w:hAnsi="Symbola" w:eastAsia="Symbola"/>
          <w:spacing w:val="-7"/>
          <w:vertAlign w:val="baseline"/>
        </w:rPr>
        <w:t> </w:t>
      </w:r>
      <w:r>
        <w:rPr>
          <w:rFonts w:ascii="Symbola" w:hAnsi="Symbola" w:eastAsia="Symbola"/>
          <w:spacing w:val="-4"/>
          <w:w w:val="80"/>
          <w:vertAlign w:val="baseline"/>
        </w:rPr>
        <w:t>𝜀</w:t>
      </w:r>
      <w:r>
        <w:rPr>
          <w:rFonts w:ascii="Symbola" w:hAnsi="Symbola" w:eastAsia="Symbola"/>
          <w:spacing w:val="15"/>
          <w:w w:val="84"/>
          <w:vertAlign w:val="subscript"/>
        </w:rPr>
        <w:t>𝑟</w:t>
      </w:r>
      <w:r>
        <w:rPr>
          <w:rFonts w:ascii="Symbola" w:hAnsi="Symbola" w:eastAsia="Symbola"/>
          <w:spacing w:val="1"/>
          <w:w w:val="124"/>
          <w:vertAlign w:val="baseline"/>
        </w:rPr>
        <w:t>)</w:t>
      </w:r>
      <w:r>
        <w:rPr>
          <w:rFonts w:ascii="Symbola" w:hAnsi="Symbola" w:eastAsia="Symbola"/>
          <w:w w:val="68"/>
          <w:vertAlign w:val="baseline"/>
        </w:rPr>
        <w:t>𝑐𝑙</w:t>
      </w:r>
      <w:r>
        <w:rPr>
          <w:rFonts w:ascii="Symbola" w:hAnsi="Symbola" w:eastAsia="Symbola"/>
          <w:vertAlign w:val="baseline"/>
        </w:rPr>
        <w:tab/>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vertAlign w:val="baseline"/>
        </w:rPr>
        <w:t>·</w:t>
        <w:tab/>
      </w:r>
      <w:r>
        <w:rPr>
          <w:spacing w:val="-1"/>
          <w:vertAlign w:val="baseline"/>
        </w:rPr>
        <w:t>(</w:t>
      </w:r>
      <w:r>
        <w:rPr>
          <w:vertAlign w:val="baseline"/>
        </w:rPr>
        <w:t>6.2)</w:t>
      </w:r>
    </w:p>
    <w:p>
      <w:pPr>
        <w:pStyle w:val="BodyText"/>
        <w:tabs>
          <w:tab w:pos="3189" w:val="left" w:leader="none"/>
          <w:tab w:pos="7499" w:val="left" w:leader="none"/>
        </w:tabs>
        <w:spacing w:before="146"/>
        <w:ind w:left="1020"/>
      </w:pPr>
      <w:r>
        <w:rPr>
          <w:rFonts w:ascii="Symbola" w:hAnsi="Symbola" w:eastAsia="Symbola"/>
        </w:rPr>
        <w:t>𝐶𝐷</w:t>
      </w:r>
      <w:r>
        <w:rPr>
          <w:rFonts w:ascii="Symbola" w:hAnsi="Symbola" w:eastAsia="Symbola"/>
          <w:spacing w:val="-17"/>
        </w:rPr>
        <w:t> </w:t>
      </w:r>
      <w:r>
        <w:rPr>
          <w:rFonts w:ascii="Symbola" w:hAnsi="Symbola" w:eastAsia="Symbola"/>
        </w:rPr>
        <w:t>=</w:t>
      </w:r>
      <w:r>
        <w:rPr>
          <w:rFonts w:ascii="Symbola" w:hAnsi="Symbola" w:eastAsia="Symbola"/>
          <w:spacing w:val="11"/>
        </w:rPr>
        <w:t> </w:t>
      </w:r>
      <w:r>
        <w:rPr>
          <w:rFonts w:ascii="Symbola" w:hAnsi="Symbola" w:eastAsia="Symbola"/>
        </w:rPr>
        <w:t>∆𝜀𝑐𝑙</w:t>
        <w:tab/>
      </w:r>
      <w:r>
        <w:rPr>
          <w:spacing w:val="9"/>
        </w:rPr>
        <w:t>······················································</w:t>
        <w:tab/>
      </w:r>
      <w:r>
        <w:rPr/>
        <w:t>(6.3)</w:t>
      </w:r>
    </w:p>
    <w:p>
      <w:pPr>
        <w:pStyle w:val="BodyText"/>
        <w:spacing w:line="360" w:lineRule="auto" w:before="144"/>
        <w:ind w:left="300"/>
      </w:pPr>
      <w:r>
        <w:rPr/>
        <w:drawing>
          <wp:anchor distT="0" distB="0" distL="0" distR="0" allowOverlap="1" layoutInCell="1" locked="0" behindDoc="0" simplePos="0" relativeHeight="106">
            <wp:simplePos x="0" y="0"/>
            <wp:positionH relativeFrom="page">
              <wp:posOffset>1522917</wp:posOffset>
            </wp:positionH>
            <wp:positionV relativeFrom="paragraph">
              <wp:posOffset>640092</wp:posOffset>
            </wp:positionV>
            <wp:extent cx="4669525" cy="2249424"/>
            <wp:effectExtent l="0" t="0" r="0" b="0"/>
            <wp:wrapTopAndBottom/>
            <wp:docPr id="93" name="image50.jpeg" descr="Figure 8.5.TIF"/>
            <wp:cNvGraphicFramePr>
              <a:graphicFrameLocks noChangeAspect="1"/>
            </wp:cNvGraphicFramePr>
            <a:graphic>
              <a:graphicData uri="http://schemas.openxmlformats.org/drawingml/2006/picture">
                <pic:pic>
                  <pic:nvPicPr>
                    <pic:cNvPr id="94" name="image50.jpeg"/>
                    <pic:cNvPicPr/>
                  </pic:nvPicPr>
                  <pic:blipFill>
                    <a:blip r:embed="rId58" cstate="print"/>
                    <a:stretch>
                      <a:fillRect/>
                    </a:stretch>
                  </pic:blipFill>
                  <pic:spPr>
                    <a:xfrm>
                      <a:off x="0" y="0"/>
                      <a:ext cx="4669525" cy="2249424"/>
                    </a:xfrm>
                    <a:prstGeom prst="rect">
                      <a:avLst/>
                    </a:prstGeom>
                  </pic:spPr>
                </pic:pic>
              </a:graphicData>
            </a:graphic>
          </wp:anchor>
        </w:drawing>
      </w:r>
      <w:r>
        <w:rPr/>
        <w:t>The preferential absorption of LCPL over RCPL (or vice versa) results in elliptical polarized light (Figure 8.5).</w:t>
      </w:r>
    </w:p>
    <w:p>
      <w:pPr>
        <w:pStyle w:val="BodyText"/>
        <w:spacing w:before="9"/>
        <w:rPr>
          <w:sz w:val="28"/>
        </w:rPr>
      </w:pPr>
    </w:p>
    <w:p>
      <w:pPr>
        <w:spacing w:before="0"/>
        <w:ind w:left="292" w:right="116" w:firstLine="0"/>
        <w:jc w:val="center"/>
        <w:rPr>
          <w:b/>
          <w:sz w:val="16"/>
        </w:rPr>
      </w:pPr>
      <w:r>
        <w:rPr>
          <w:b/>
          <w:sz w:val="16"/>
        </w:rPr>
        <w:t>Figure 8.5 Differential absorption of the left and right circularly polarized light resulting in elliptically polarized light.</w:t>
      </w:r>
    </w:p>
    <w:p>
      <w:pPr>
        <w:spacing w:before="94"/>
        <w:ind w:left="292" w:right="114" w:firstLine="0"/>
        <w:jc w:val="center"/>
        <w:rPr>
          <w:b/>
          <w:sz w:val="16"/>
        </w:rPr>
      </w:pPr>
      <w:r>
        <w:rPr>
          <w:b/>
          <w:sz w:val="16"/>
        </w:rPr>
        <w:t>Notice that if one component is completely absorbed, the resultant wave will be circularly polarized.</w:t>
      </w:r>
    </w:p>
    <w:p>
      <w:pPr>
        <w:pStyle w:val="BodyText"/>
        <w:spacing w:before="1"/>
        <w:rPr>
          <w:b/>
          <w:sz w:val="25"/>
        </w:rPr>
      </w:pPr>
    </w:p>
    <w:p>
      <w:pPr>
        <w:pStyle w:val="BodyText"/>
        <w:spacing w:line="360" w:lineRule="auto"/>
        <w:ind w:left="299"/>
      </w:pPr>
      <w:r>
        <w:rPr/>
        <w:t>CD is historically represented in terms of ellipticity (</w:t>
      </w:r>
      <w:r>
        <w:rPr>
          <w:i/>
        </w:rPr>
        <w:t>θ</w:t>
      </w:r>
      <w:r>
        <w:rPr/>
        <w:t>) which is the tangent of ratio of minor to major axis of the ellipse. The relationship between CD and </w:t>
      </w:r>
      <w:r>
        <w:rPr>
          <w:i/>
        </w:rPr>
        <w:t>θ </w:t>
      </w:r>
      <w:r>
        <w:rPr/>
        <w:t>is give by:</w:t>
      </w:r>
    </w:p>
    <w:p>
      <w:pPr>
        <w:spacing w:after="0" w:line="360" w:lineRule="auto"/>
        <w:sectPr>
          <w:pgSz w:w="11910" w:h="16840"/>
          <w:pgMar w:header="722" w:footer="748" w:top="1300" w:bottom="940" w:left="1500" w:right="1480"/>
        </w:sectPr>
      </w:pPr>
    </w:p>
    <w:p>
      <w:pPr>
        <w:pStyle w:val="BodyText"/>
        <w:spacing w:line="217" w:lineRule="exact" w:before="86"/>
        <w:ind w:left="3180"/>
        <w:rPr>
          <w:rFonts w:ascii="Symbola" w:eastAsia="Symbola"/>
        </w:rPr>
      </w:pPr>
      <w:r>
        <w:rPr/>
        <w:pict>
          <v:rect style="position:absolute;margin-left:310.559998pt;margin-top:10.370143pt;width:21.36pt;height:.84pt;mso-position-horizontal-relative:page;mso-position-vertical-relative:paragraph;z-index:-18484224" filled="true" fillcolor="#000000" stroked="false">
            <v:fill type="solid"/>
            <w10:wrap type="none"/>
          </v:rect>
        </w:pict>
      </w:r>
      <w:r>
        <w:rPr>
          <w:rFonts w:ascii="Symbola" w:eastAsia="Symbola"/>
        </w:rPr>
        <w:t>𝜃 </w:t>
      </w:r>
      <w:r>
        <w:rPr>
          <w:rFonts w:ascii="Symbola" w:eastAsia="Symbola"/>
          <w:position w:val="1"/>
        </w:rPr>
        <w:t>(</w:t>
      </w:r>
      <w:r>
        <w:rPr>
          <w:rFonts w:ascii="Symbola" w:eastAsia="Symbola"/>
        </w:rPr>
        <w:t>radians</w:t>
      </w:r>
      <w:r>
        <w:rPr>
          <w:rFonts w:ascii="Symbola" w:eastAsia="Symbola"/>
          <w:position w:val="1"/>
        </w:rPr>
        <w:t>) </w:t>
      </w:r>
      <w:r>
        <w:rPr>
          <w:rFonts w:ascii="Symbola" w:eastAsia="Symbola"/>
        </w:rPr>
        <w:t>= </w:t>
      </w:r>
      <w:r>
        <w:rPr>
          <w:rFonts w:ascii="Symbola" w:eastAsia="Symbola"/>
          <w:vertAlign w:val="superscript"/>
        </w:rPr>
        <w:t>2.303</w:t>
      </w:r>
    </w:p>
    <w:p>
      <w:pPr>
        <w:spacing w:line="137" w:lineRule="exact" w:before="0"/>
        <w:ind w:left="0" w:right="165" w:firstLine="0"/>
        <w:jc w:val="right"/>
        <w:rPr>
          <w:rFonts w:ascii="Symbola"/>
          <w:sz w:val="17"/>
        </w:rPr>
      </w:pPr>
      <w:r>
        <w:rPr>
          <w:rFonts w:ascii="Symbola"/>
          <w:w w:val="115"/>
          <w:sz w:val="17"/>
        </w:rPr>
        <w:t>4</w:t>
      </w:r>
    </w:p>
    <w:p>
      <w:pPr>
        <w:pStyle w:val="BodyText"/>
        <w:tabs>
          <w:tab w:pos="889" w:val="left" w:leader="none"/>
        </w:tabs>
        <w:spacing w:before="61"/>
        <w:ind w:left="63"/>
      </w:pPr>
      <w:r>
        <w:rPr/>
        <w:br w:type="column"/>
      </w:r>
      <w:r>
        <w:rPr>
          <w:rFonts w:ascii="Symbola" w:hAnsi="Symbola" w:eastAsia="Symbola"/>
        </w:rPr>
        <w:t>× 𝐶𝐷</w:t>
        <w:tab/>
      </w:r>
      <w:r>
        <w:rPr>
          <w:spacing w:val="8"/>
        </w:rPr>
        <w:t>··················</w:t>
      </w:r>
      <w:r>
        <w:rPr>
          <w:spacing w:val="58"/>
        </w:rPr>
        <w:t> </w:t>
      </w:r>
      <w:r>
        <w:rPr/>
        <w:t>(6.4)</w:t>
      </w:r>
    </w:p>
    <w:p>
      <w:pPr>
        <w:spacing w:after="0"/>
        <w:sectPr>
          <w:type w:val="continuous"/>
          <w:pgSz w:w="11910" w:h="16840"/>
          <w:pgMar w:top="1300" w:bottom="940" w:left="1500" w:right="1480"/>
          <w:cols w:num="2" w:equalWidth="0">
            <w:col w:w="5141" w:space="40"/>
            <w:col w:w="3749"/>
          </w:cols>
        </w:sectPr>
      </w:pPr>
    </w:p>
    <w:p>
      <w:pPr>
        <w:pStyle w:val="BodyText"/>
        <w:spacing w:line="217" w:lineRule="exact" w:before="193"/>
        <w:ind w:left="3180"/>
        <w:rPr>
          <w:rFonts w:ascii="Symbola" w:eastAsia="Symbola"/>
        </w:rPr>
      </w:pPr>
      <w:r>
        <w:rPr/>
        <w:pict>
          <v:rect style="position:absolute;margin-left:312.239990pt;margin-top:15.720158pt;width:21.361pt;height:.84pt;mso-position-horizontal-relative:page;mso-position-vertical-relative:paragraph;z-index:-18483712" filled="true" fillcolor="#000000" stroked="false">
            <v:fill type="solid"/>
            <w10:wrap type="none"/>
          </v:rect>
        </w:pict>
      </w:r>
      <w:r>
        <w:rPr>
          <w:rFonts w:ascii="Symbola" w:eastAsia="Symbola"/>
          <w:w w:val="105"/>
        </w:rPr>
        <w:t>𝜃 </w:t>
      </w:r>
      <w:r>
        <w:rPr>
          <w:rFonts w:ascii="Symbola" w:eastAsia="Symbola"/>
          <w:w w:val="105"/>
          <w:position w:val="1"/>
        </w:rPr>
        <w:t>(</w:t>
      </w:r>
      <w:r>
        <w:rPr>
          <w:rFonts w:ascii="Symbola" w:eastAsia="Symbola"/>
          <w:w w:val="105"/>
        </w:rPr>
        <w:t>degrees</w:t>
      </w:r>
      <w:r>
        <w:rPr>
          <w:rFonts w:ascii="Symbola" w:eastAsia="Symbola"/>
          <w:w w:val="105"/>
          <w:position w:val="1"/>
        </w:rPr>
        <w:t>) </w:t>
      </w:r>
      <w:r>
        <w:rPr>
          <w:rFonts w:ascii="Symbola" w:eastAsia="Symbola"/>
          <w:w w:val="105"/>
        </w:rPr>
        <w:t>= </w:t>
      </w:r>
      <w:r>
        <w:rPr>
          <w:rFonts w:ascii="Symbola" w:eastAsia="Symbola"/>
          <w:w w:val="105"/>
          <w:vertAlign w:val="superscript"/>
        </w:rPr>
        <w:t>2.303</w:t>
      </w:r>
    </w:p>
    <w:p>
      <w:pPr>
        <w:spacing w:line="137" w:lineRule="exact" w:before="0"/>
        <w:ind w:left="0" w:right="165" w:firstLine="0"/>
        <w:jc w:val="right"/>
        <w:rPr>
          <w:rFonts w:ascii="Symbola"/>
          <w:sz w:val="17"/>
        </w:rPr>
      </w:pPr>
      <w:r>
        <w:rPr>
          <w:rFonts w:ascii="Symbola"/>
          <w:w w:val="115"/>
          <w:sz w:val="17"/>
        </w:rPr>
        <w:t>4</w:t>
      </w:r>
    </w:p>
    <w:p>
      <w:pPr>
        <w:spacing w:line="293" w:lineRule="exact" w:before="118"/>
        <w:ind w:left="65" w:right="0" w:firstLine="0"/>
        <w:jc w:val="left"/>
        <w:rPr>
          <w:rFonts w:ascii="Symbola" w:hAnsi="Symbola" w:eastAsia="Symbola"/>
          <w:sz w:val="17"/>
        </w:rPr>
      </w:pPr>
      <w:r>
        <w:rPr/>
        <w:br w:type="column"/>
      </w:r>
      <w:r>
        <w:rPr>
          <w:rFonts w:ascii="Symbola" w:hAnsi="Symbola" w:eastAsia="Symbola"/>
          <w:w w:val="105"/>
          <w:sz w:val="24"/>
        </w:rPr>
        <w:t>× 𝐶𝐷  ×</w:t>
      </w:r>
      <w:r>
        <w:rPr>
          <w:rFonts w:ascii="Symbola" w:hAnsi="Symbola" w:eastAsia="Symbola"/>
          <w:spacing w:val="26"/>
          <w:w w:val="105"/>
          <w:sz w:val="24"/>
        </w:rPr>
        <w:t> </w:t>
      </w:r>
      <w:r>
        <w:rPr>
          <w:rFonts w:ascii="Symbola" w:hAnsi="Symbola" w:eastAsia="Symbola"/>
          <w:spacing w:val="-7"/>
          <w:w w:val="105"/>
          <w:position w:val="14"/>
          <w:sz w:val="17"/>
        </w:rPr>
        <w:t>180</w:t>
      </w:r>
    </w:p>
    <w:p>
      <w:pPr>
        <w:spacing w:line="137" w:lineRule="exact" w:before="0"/>
        <w:ind w:left="0" w:right="91" w:firstLine="0"/>
        <w:jc w:val="right"/>
        <w:rPr>
          <w:rFonts w:ascii="Symbola" w:eastAsia="Symbola"/>
          <w:sz w:val="17"/>
        </w:rPr>
      </w:pPr>
      <w:r>
        <w:rPr/>
        <w:pict>
          <v:rect style="position:absolute;margin-left:385.200012pt;margin-top:-4.801257pt;width:14.76pt;height:.84pt;mso-position-horizontal-relative:page;mso-position-vertical-relative:paragraph;z-index:-18483200" filled="true" fillcolor="#000000" stroked="false">
            <v:fill type="solid"/>
            <w10:wrap type="none"/>
          </v:rect>
        </w:pict>
      </w:r>
      <w:r>
        <w:rPr>
          <w:rFonts w:ascii="Symbola" w:eastAsia="Symbola"/>
          <w:spacing w:val="-1"/>
          <w:w w:val="115"/>
          <w:sz w:val="17"/>
        </w:rPr>
        <w:t>𝜋</w:t>
      </w:r>
    </w:p>
    <w:p>
      <w:pPr>
        <w:pStyle w:val="BodyText"/>
        <w:spacing w:before="167"/>
        <w:ind w:left="250"/>
      </w:pPr>
      <w:r>
        <w:rPr/>
        <w:br w:type="column"/>
      </w:r>
      <w:r>
        <w:rPr/>
        <w:t>········· (6.5)</w:t>
      </w:r>
    </w:p>
    <w:p>
      <w:pPr>
        <w:spacing w:after="0"/>
        <w:sectPr>
          <w:type w:val="continuous"/>
          <w:pgSz w:w="11910" w:h="16840"/>
          <w:pgMar w:top="1300" w:bottom="940" w:left="1500" w:right="1480"/>
          <w:cols w:num="3" w:equalWidth="0">
            <w:col w:w="5175" w:space="40"/>
            <w:col w:w="1285" w:space="39"/>
            <w:col w:w="2391"/>
          </w:cols>
        </w:sectPr>
      </w:pPr>
    </w:p>
    <w:p>
      <w:pPr>
        <w:pStyle w:val="BodyText"/>
        <w:tabs>
          <w:tab w:pos="7499" w:val="left" w:leader="middleDot"/>
        </w:tabs>
        <w:spacing w:before="104"/>
        <w:ind w:left="3180"/>
      </w:pPr>
      <w:r>
        <w:rPr>
          <w:rFonts w:ascii="Symbola" w:hAnsi="Symbola" w:eastAsia="Symbola"/>
        </w:rPr>
        <w:t>𝜃 </w:t>
      </w:r>
      <w:r>
        <w:rPr>
          <w:rFonts w:ascii="Symbola" w:hAnsi="Symbola" w:eastAsia="Symbola"/>
          <w:position w:val="1"/>
        </w:rPr>
        <w:t>(</w:t>
      </w:r>
      <w:r>
        <w:rPr>
          <w:rFonts w:ascii="Symbola" w:hAnsi="Symbola" w:eastAsia="Symbola"/>
        </w:rPr>
        <w:t>degrees</w:t>
      </w:r>
      <w:r>
        <w:rPr>
          <w:rFonts w:ascii="Symbola" w:hAnsi="Symbola" w:eastAsia="Symbola"/>
          <w:position w:val="1"/>
        </w:rPr>
        <w:t>)  </w:t>
      </w:r>
      <w:r>
        <w:rPr>
          <w:rFonts w:ascii="Symbola" w:hAnsi="Symbola" w:eastAsia="Symbola"/>
        </w:rPr>
        <w:t>≈   33.0</w:t>
      </w:r>
      <w:r>
        <w:rPr>
          <w:rFonts w:ascii="Symbola" w:hAnsi="Symbola" w:eastAsia="Symbola"/>
          <w:spacing w:val="-4"/>
        </w:rPr>
        <w:t> </w:t>
      </w:r>
      <w:r>
        <w:rPr>
          <w:rFonts w:ascii="Symbola" w:hAnsi="Symbola" w:eastAsia="Symbola"/>
        </w:rPr>
        <w:t>×</w:t>
      </w:r>
      <w:r>
        <w:rPr>
          <w:rFonts w:ascii="Symbola" w:hAnsi="Symbola" w:eastAsia="Symbola"/>
          <w:spacing w:val="1"/>
        </w:rPr>
        <w:t> </w:t>
      </w:r>
      <w:r>
        <w:rPr>
          <w:rFonts w:ascii="Symbola" w:hAnsi="Symbola" w:eastAsia="Symbola"/>
        </w:rPr>
        <w:t>𝐶𝐷</w:t>
        <w:tab/>
      </w:r>
      <w:r>
        <w:rPr/>
        <w:t>(6.6)</w:t>
      </w:r>
    </w:p>
    <w:p>
      <w:pPr>
        <w:pStyle w:val="BodyText"/>
        <w:spacing w:line="360" w:lineRule="auto" w:before="144"/>
        <w:ind w:left="299" w:right="318"/>
        <w:jc w:val="both"/>
      </w:pPr>
      <w:r>
        <w:rPr/>
        <w:t>A plot between </w:t>
      </w:r>
      <w:r>
        <w:rPr>
          <w:i/>
        </w:rPr>
        <w:t>∆A </w:t>
      </w:r>
      <w:r>
        <w:rPr/>
        <w:t>or </w:t>
      </w:r>
      <w:r>
        <w:rPr>
          <w:i/>
        </w:rPr>
        <w:t>∆ε </w:t>
      </w:r>
      <w:r>
        <w:rPr/>
        <w:t>or </w:t>
      </w:r>
      <w:r>
        <w:rPr>
          <w:i/>
        </w:rPr>
        <w:t>θ </w:t>
      </w:r>
      <w:r>
        <w:rPr/>
        <w:t>against the wavelength of light represents a CD spectrum. In this lecture, we shall be discussing only electronic CD. That means that we shall be looking at the electromagnetic region that causes electronic transition, which of course is UV/Visible region.</w:t>
      </w:r>
    </w:p>
    <w:p>
      <w:pPr>
        <w:pStyle w:val="BodyText"/>
        <w:spacing w:before="6"/>
        <w:rPr>
          <w:sz w:val="36"/>
        </w:rPr>
      </w:pPr>
    </w:p>
    <w:p>
      <w:pPr>
        <w:pStyle w:val="Heading4"/>
        <w:ind w:left="299"/>
      </w:pPr>
      <w:r>
        <w:rPr/>
        <w:t>Circular birefringence</w:t>
      </w:r>
    </w:p>
    <w:p>
      <w:pPr>
        <w:pStyle w:val="BodyText"/>
        <w:spacing w:line="360" w:lineRule="auto" w:before="132"/>
        <w:ind w:left="299" w:right="315"/>
        <w:jc w:val="both"/>
      </w:pPr>
      <w:r>
        <w:rPr/>
        <w:t>If a sample reduces the velocity of the LCPL and RCPL to different extents, the sample is said to be circularly birefringent and the phenomenon circular birefringence. Let us see what happens when the linearly polarized light (having two components, LCPL and RCPL) traverses a circular birefringent medium: the velocities of the two components are reduced to different extents </w:t>
      </w:r>
      <w:r>
        <w:rPr>
          <w:i/>
        </w:rPr>
        <w:t>i.e. </w:t>
      </w:r>
      <w:r>
        <w:rPr/>
        <w:t>they have different wavelengths in the</w:t>
      </w:r>
    </w:p>
    <w:p>
      <w:pPr>
        <w:spacing w:after="0" w:line="360" w:lineRule="auto"/>
        <w:jc w:val="both"/>
        <w:sectPr>
          <w:type w:val="continuous"/>
          <w:pgSz w:w="11910" w:h="16840"/>
          <w:pgMar w:top="1300" w:bottom="940" w:left="1500" w:right="1480"/>
        </w:sectPr>
      </w:pPr>
    </w:p>
    <w:p>
      <w:pPr>
        <w:pStyle w:val="BodyText"/>
        <w:spacing w:line="360" w:lineRule="auto" w:before="119" w:after="10"/>
        <w:ind w:left="300" w:right="315"/>
        <w:jc w:val="both"/>
      </w:pPr>
      <w:r>
        <w:rPr/>
        <w:t>sample. After emerging from the samples, the wavelength is restored but two components can be out of phase. This results in the rotation of the polarization axis. </w:t>
      </w:r>
      <w:r>
        <w:rPr>
          <w:spacing w:val="-3"/>
        </w:rPr>
        <w:t>If </w:t>
      </w:r>
      <w:r>
        <w:rPr/>
        <w:t>the material is not circularly dichroic, the plane of the linearly polarized light is rotated (Figure 8.6A). If the material is both circularly dichroic and birefringent, the plane polarized light will become elliptically polarized light with the major axis of the ellipse tilted with respect to the polarization axis of the incident polarized light (Figure</w:t>
      </w:r>
      <w:r>
        <w:rPr>
          <w:spacing w:val="-2"/>
        </w:rPr>
        <w:t> </w:t>
      </w:r>
      <w:r>
        <w:rPr/>
        <w:t>8.6B).</w:t>
      </w:r>
    </w:p>
    <w:p>
      <w:pPr>
        <w:pStyle w:val="BodyText"/>
        <w:ind w:left="530"/>
        <w:rPr>
          <w:sz w:val="20"/>
        </w:rPr>
      </w:pPr>
      <w:r>
        <w:rPr>
          <w:sz w:val="20"/>
        </w:rPr>
        <w:drawing>
          <wp:inline distT="0" distB="0" distL="0" distR="0">
            <wp:extent cx="5268233" cy="1505712"/>
            <wp:effectExtent l="0" t="0" r="0" b="0"/>
            <wp:docPr id="95" name="image51.png" descr="Figure 8.6.tif"/>
            <wp:cNvGraphicFramePr>
              <a:graphicFrameLocks noChangeAspect="1"/>
            </wp:cNvGraphicFramePr>
            <a:graphic>
              <a:graphicData uri="http://schemas.openxmlformats.org/drawingml/2006/picture">
                <pic:pic>
                  <pic:nvPicPr>
                    <pic:cNvPr id="96" name="image51.png"/>
                    <pic:cNvPicPr/>
                  </pic:nvPicPr>
                  <pic:blipFill>
                    <a:blip r:embed="rId59" cstate="print"/>
                    <a:stretch>
                      <a:fillRect/>
                    </a:stretch>
                  </pic:blipFill>
                  <pic:spPr>
                    <a:xfrm>
                      <a:off x="0" y="0"/>
                      <a:ext cx="5268233" cy="1505712"/>
                    </a:xfrm>
                    <a:prstGeom prst="rect">
                      <a:avLst/>
                    </a:prstGeom>
                  </pic:spPr>
                </pic:pic>
              </a:graphicData>
            </a:graphic>
          </wp:inline>
        </w:drawing>
      </w:r>
      <w:r>
        <w:rPr>
          <w:sz w:val="20"/>
        </w:rPr>
      </w:r>
    </w:p>
    <w:p>
      <w:pPr>
        <w:pStyle w:val="BodyText"/>
        <w:spacing w:before="1"/>
        <w:rPr>
          <w:sz w:val="34"/>
        </w:rPr>
      </w:pPr>
    </w:p>
    <w:p>
      <w:pPr>
        <w:spacing w:line="362" w:lineRule="auto" w:before="0"/>
        <w:ind w:left="496" w:right="315" w:firstLine="0"/>
        <w:jc w:val="both"/>
        <w:rPr>
          <w:b/>
          <w:sz w:val="16"/>
        </w:rPr>
      </w:pPr>
      <w:r>
        <w:rPr>
          <w:b/>
          <w:sz w:val="16"/>
        </w:rPr>
        <w:t>Figure 8.6 A linearly polarized light passing through a circular birefringent but not circular dichroic material (A) and through a material that is both circular birefringent and circular dichroic (B). Circular dichroism results in elliptically polarized light while circular birefringence causes change in the polarization axis.</w:t>
      </w:r>
    </w:p>
    <w:p>
      <w:pPr>
        <w:pStyle w:val="BodyText"/>
        <w:spacing w:before="3"/>
        <w:rPr>
          <w:b/>
          <w:sz w:val="17"/>
        </w:rPr>
      </w:pPr>
    </w:p>
    <w:p>
      <w:pPr>
        <w:tabs>
          <w:tab w:pos="796" w:val="left" w:leader="none"/>
          <w:tab w:pos="1970" w:val="left" w:leader="none"/>
        </w:tabs>
        <w:spacing w:line="357" w:lineRule="auto" w:before="0"/>
        <w:ind w:left="300" w:right="6759" w:firstLine="0"/>
        <w:jc w:val="left"/>
        <w:rPr>
          <w:sz w:val="24"/>
        </w:rPr>
      </w:pPr>
      <w:r>
        <w:rPr/>
        <w:pict>
          <v:shape style="position:absolute;margin-left:192.75pt;margin-top:24.773121pt;width:311.75pt;height:180.55pt;mso-position-horizontal-relative:page;mso-position-vertical-relative:paragraph;z-index:15784960" type="#_x0000_t202" filled="true" fillcolor="#ffff00" stroked="true" strokeweight=".75pt" strokecolor="#000000">
            <v:textbox inset="0,0,0,0">
              <w:txbxContent>
                <w:p>
                  <w:pPr>
                    <w:pStyle w:val="BodyText"/>
                    <w:spacing w:line="276" w:lineRule="auto" w:before="66"/>
                    <w:ind w:left="145" w:right="139"/>
                    <w:jc w:val="both"/>
                  </w:pPr>
                  <w:r>
                    <w:rPr/>
                    <w:t>Photoelastic modulator: A photoelastic material is the one that exhibits birefringenece under mechanical stress. The photoelastic modulator in a CD instrument comprises of a quartz crystal fused to a piezoelectric material. Oscillations in the piezoelectric material drive the quartz crystal to oscillate at the same frequency. The crystal optical axis is at 45° to the linearly polarized light. The crystal retards one component of the light more than the other when compressed. When expanded the velocity of the two components gets reversed. A PEM, therefore gives alternating LCPL and</w:t>
                  </w:r>
                  <w:r>
                    <w:rPr>
                      <w:spacing w:val="-2"/>
                    </w:rPr>
                    <w:t> </w:t>
                  </w:r>
                  <w:r>
                    <w:rPr/>
                    <w:t>RCPL.</w:t>
                  </w:r>
                </w:p>
              </w:txbxContent>
            </v:textbox>
            <v:fill type="solid"/>
            <v:stroke dashstyle="solid"/>
            <w10:wrap type="none"/>
          </v:shape>
        </w:pict>
      </w:r>
      <w:r>
        <w:rPr>
          <w:b/>
          <w:sz w:val="24"/>
        </w:rPr>
        <w:t>Instrumentation </w:t>
      </w:r>
      <w:r>
        <w:rPr>
          <w:sz w:val="24"/>
        </w:rPr>
        <w:t>As CD is </w:t>
      </w:r>
      <w:r>
        <w:rPr>
          <w:spacing w:val="-3"/>
          <w:sz w:val="24"/>
        </w:rPr>
        <w:t>simply </w:t>
      </w:r>
      <w:r>
        <w:rPr>
          <w:sz w:val="24"/>
        </w:rPr>
        <w:t>the</w:t>
        <w:tab/>
        <w:t>difference</w:t>
        <w:tab/>
        <w:t>in</w:t>
      </w:r>
    </w:p>
    <w:p>
      <w:pPr>
        <w:pStyle w:val="BodyText"/>
        <w:spacing w:line="360" w:lineRule="auto" w:before="3"/>
        <w:ind w:left="300" w:right="6766"/>
        <w:jc w:val="both"/>
      </w:pPr>
      <w:r>
        <w:rPr/>
        <w:t>the absorbance </w:t>
      </w:r>
      <w:r>
        <w:rPr>
          <w:spacing w:val="-9"/>
        </w:rPr>
        <w:t>of </w:t>
      </w:r>
      <w:r>
        <w:rPr/>
        <w:t>the LCPL </w:t>
      </w:r>
      <w:r>
        <w:rPr>
          <w:spacing w:val="-6"/>
        </w:rPr>
        <w:t>and </w:t>
      </w:r>
      <w:r>
        <w:rPr/>
        <w:t>RCPL lights, a</w:t>
      </w:r>
      <w:r>
        <w:rPr>
          <w:spacing w:val="38"/>
        </w:rPr>
        <w:t> </w:t>
      </w:r>
      <w:r>
        <w:rPr>
          <w:spacing w:val="-6"/>
        </w:rPr>
        <w:t>CD</w:t>
      </w:r>
    </w:p>
    <w:p>
      <w:pPr>
        <w:pStyle w:val="BodyText"/>
        <w:spacing w:line="360" w:lineRule="auto" w:before="1"/>
        <w:ind w:left="300" w:right="6763"/>
        <w:jc w:val="both"/>
      </w:pPr>
      <w:r>
        <w:rPr/>
        <w:t>spectrometer, </w:t>
      </w:r>
      <w:r>
        <w:rPr>
          <w:spacing w:val="-4"/>
        </w:rPr>
        <w:t>also </w:t>
      </w:r>
      <w:r>
        <w:rPr/>
        <w:t>known as a </w:t>
      </w:r>
      <w:r>
        <w:rPr>
          <w:spacing w:val="-7"/>
        </w:rPr>
        <w:t>CD </w:t>
      </w:r>
      <w:r>
        <w:rPr/>
        <w:t>spectropolarimeter, is     basically    </w:t>
      </w:r>
      <w:r>
        <w:rPr>
          <w:spacing w:val="12"/>
        </w:rPr>
        <w:t> </w:t>
      </w:r>
      <w:r>
        <w:rPr/>
        <w:t>an</w:t>
      </w:r>
    </w:p>
    <w:p>
      <w:pPr>
        <w:pStyle w:val="BodyText"/>
        <w:spacing w:line="360" w:lineRule="auto"/>
        <w:ind w:left="300" w:right="313"/>
        <w:jc w:val="both"/>
      </w:pPr>
      <w:r>
        <w:rPr/>
        <w:t>absorption spectrophotometer (Figure 8.7). The instrument has a light source, usually a Xenon lamp. The polychromatic light from the source is converted to monochromatic radiation which is further converted to linearly polarized light by a polarizer. The linearly polarized light passes through a photoelastic modulator that alternately converts the linearly polarized light into LCPL and RCPL. The LCPL and the RCPL, therefore pass through the sample alternately and their absorbance gets recorded.</w:t>
      </w:r>
      <w:r>
        <w:rPr>
          <w:spacing w:val="31"/>
        </w:rPr>
        <w:t> </w:t>
      </w:r>
      <w:r>
        <w:rPr/>
        <w:t>Absorbance</w:t>
      </w:r>
      <w:r>
        <w:rPr>
          <w:spacing w:val="30"/>
        </w:rPr>
        <w:t> </w:t>
      </w:r>
      <w:r>
        <w:rPr/>
        <w:t>is</w:t>
      </w:r>
      <w:r>
        <w:rPr>
          <w:spacing w:val="31"/>
        </w:rPr>
        <w:t> </w:t>
      </w:r>
      <w:r>
        <w:rPr/>
        <w:t>recorded</w:t>
      </w:r>
      <w:r>
        <w:rPr>
          <w:spacing w:val="32"/>
        </w:rPr>
        <w:t> </w:t>
      </w:r>
      <w:r>
        <w:rPr/>
        <w:t>at</w:t>
      </w:r>
      <w:r>
        <w:rPr>
          <w:spacing w:val="30"/>
        </w:rPr>
        <w:t> </w:t>
      </w:r>
      <w:r>
        <w:rPr/>
        <w:t>various</w:t>
      </w:r>
      <w:r>
        <w:rPr>
          <w:spacing w:val="32"/>
        </w:rPr>
        <w:t> </w:t>
      </w:r>
      <w:r>
        <w:rPr/>
        <w:t>wavelengths</w:t>
      </w:r>
      <w:r>
        <w:rPr>
          <w:spacing w:val="30"/>
        </w:rPr>
        <w:t> </w:t>
      </w:r>
      <w:r>
        <w:rPr/>
        <w:t>to</w:t>
      </w:r>
      <w:r>
        <w:rPr>
          <w:spacing w:val="30"/>
        </w:rPr>
        <w:t> </w:t>
      </w:r>
      <w:r>
        <w:rPr/>
        <w:t>obtain</w:t>
      </w:r>
      <w:r>
        <w:rPr>
          <w:spacing w:val="32"/>
        </w:rPr>
        <w:t> </w:t>
      </w:r>
      <w:r>
        <w:rPr/>
        <w:t>a</w:t>
      </w:r>
      <w:r>
        <w:rPr>
          <w:spacing w:val="29"/>
        </w:rPr>
        <w:t> </w:t>
      </w:r>
      <w:r>
        <w:rPr/>
        <w:t>CD</w:t>
      </w:r>
      <w:r>
        <w:rPr>
          <w:spacing w:val="29"/>
        </w:rPr>
        <w:t> </w:t>
      </w:r>
      <w:r>
        <w:rPr/>
        <w:t>spectrum.</w:t>
      </w:r>
    </w:p>
    <w:p>
      <w:pPr>
        <w:spacing w:after="0" w:line="360" w:lineRule="auto"/>
        <w:jc w:val="both"/>
        <w:sectPr>
          <w:pgSz w:w="11910" w:h="16840"/>
          <w:pgMar w:header="722" w:footer="748" w:top="1300" w:bottom="940" w:left="1500" w:right="1480"/>
        </w:sectPr>
      </w:pPr>
    </w:p>
    <w:p>
      <w:pPr>
        <w:pStyle w:val="BodyText"/>
        <w:spacing w:line="360" w:lineRule="auto" w:before="119"/>
        <w:ind w:left="300"/>
      </w:pPr>
      <w:r>
        <w:rPr/>
        <w:drawing>
          <wp:anchor distT="0" distB="0" distL="0" distR="0" allowOverlap="1" layoutInCell="1" locked="0" behindDoc="0" simplePos="0" relativeHeight="111">
            <wp:simplePos x="0" y="0"/>
            <wp:positionH relativeFrom="page">
              <wp:posOffset>1364726</wp:posOffset>
            </wp:positionH>
            <wp:positionV relativeFrom="paragraph">
              <wp:posOffset>625047</wp:posOffset>
            </wp:positionV>
            <wp:extent cx="4982816" cy="1469135"/>
            <wp:effectExtent l="0" t="0" r="0" b="0"/>
            <wp:wrapTopAndBottom/>
            <wp:docPr id="97" name="image52.jpeg" descr="Figure 8.7.tif"/>
            <wp:cNvGraphicFramePr>
              <a:graphicFrameLocks noChangeAspect="1"/>
            </wp:cNvGraphicFramePr>
            <a:graphic>
              <a:graphicData uri="http://schemas.openxmlformats.org/drawingml/2006/picture">
                <pic:pic>
                  <pic:nvPicPr>
                    <pic:cNvPr id="98" name="image52.jpeg"/>
                    <pic:cNvPicPr/>
                  </pic:nvPicPr>
                  <pic:blipFill>
                    <a:blip r:embed="rId60" cstate="print"/>
                    <a:stretch>
                      <a:fillRect/>
                    </a:stretch>
                  </pic:blipFill>
                  <pic:spPr>
                    <a:xfrm>
                      <a:off x="0" y="0"/>
                      <a:ext cx="4982816" cy="1469135"/>
                    </a:xfrm>
                    <a:prstGeom prst="rect">
                      <a:avLst/>
                    </a:prstGeom>
                  </pic:spPr>
                </pic:pic>
              </a:graphicData>
            </a:graphic>
          </wp:anchor>
        </w:drawing>
      </w:r>
      <w:r>
        <w:rPr/>
        <w:t>Single wavelength CD values are also important in studying the fast reactions such as protein folding/unfolding (discussed in the next lecture).</w:t>
      </w:r>
    </w:p>
    <w:p>
      <w:pPr>
        <w:pStyle w:val="BodyText"/>
        <w:spacing w:before="1"/>
        <w:rPr>
          <w:sz w:val="35"/>
        </w:rPr>
      </w:pPr>
    </w:p>
    <w:p>
      <w:pPr>
        <w:spacing w:before="1"/>
        <w:ind w:left="793" w:right="617" w:firstLine="0"/>
        <w:jc w:val="center"/>
        <w:rPr>
          <w:b/>
          <w:sz w:val="16"/>
        </w:rPr>
      </w:pPr>
      <w:r>
        <w:rPr>
          <w:b/>
          <w:sz w:val="16"/>
        </w:rPr>
        <w:t>Figure 8.7 Schematic diagram of a CD spectropolarimeter.</w:t>
      </w:r>
    </w:p>
    <w:p>
      <w:pPr>
        <w:spacing w:after="0"/>
        <w:jc w:val="center"/>
        <w:rPr>
          <w:sz w:val="16"/>
        </w:rPr>
        <w:sectPr>
          <w:pgSz w:w="11910" w:h="16840"/>
          <w:pgMar w:header="722" w:footer="748" w:top="1300" w:bottom="940" w:left="1500" w:right="1480"/>
        </w:sectPr>
      </w:pPr>
    </w:p>
    <w:p>
      <w:pPr>
        <w:pStyle w:val="Heading2"/>
      </w:pPr>
      <w:r>
        <w:rPr/>
        <w:t>Lecture 9 Circular Dichroism Spectroscopy-II</w:t>
      </w:r>
    </w:p>
    <w:p>
      <w:pPr>
        <w:pStyle w:val="BodyText"/>
        <w:spacing w:before="4"/>
        <w:rPr>
          <w:b/>
          <w:sz w:val="33"/>
        </w:rPr>
      </w:pPr>
    </w:p>
    <w:p>
      <w:pPr>
        <w:pStyle w:val="Heading4"/>
      </w:pPr>
      <w:r>
        <w:rPr/>
        <w:t>CD of biomolecules</w:t>
      </w:r>
    </w:p>
    <w:p>
      <w:pPr>
        <w:pStyle w:val="BodyText"/>
        <w:spacing w:line="360" w:lineRule="auto" w:before="134"/>
        <w:ind w:left="299" w:right="317"/>
        <w:jc w:val="both"/>
      </w:pPr>
      <w:r>
        <w:rPr/>
        <w:t>Most biomolecules are chiral and the biomacromolecules are composed of chiral components. Folding of biomacromolecules into higher order structures further imparts them the asymmetry. CD has not been used as much to study other biomolecules probably, as it has been used to study proteins.</w:t>
      </w:r>
    </w:p>
    <w:p>
      <w:pPr>
        <w:spacing w:before="0"/>
        <w:ind w:left="300" w:right="0" w:firstLine="0"/>
        <w:jc w:val="both"/>
        <w:rPr>
          <w:i/>
          <w:sz w:val="24"/>
        </w:rPr>
      </w:pPr>
      <w:r>
        <w:rPr>
          <w:i/>
          <w:sz w:val="24"/>
        </w:rPr>
        <w:t>CD of proteins</w:t>
      </w:r>
    </w:p>
    <w:p>
      <w:pPr>
        <w:pStyle w:val="BodyText"/>
        <w:spacing w:line="360" w:lineRule="auto" w:before="137"/>
        <w:ind w:left="299" w:right="314"/>
        <w:jc w:val="both"/>
      </w:pPr>
      <w:r>
        <w:rPr/>
        <w:t>Proteins are usually composed of 20 amino acids, 19 of which (except glycine) are chiral. This chirality also reflects in the higher order structures that the polypeptides adopt; α-helix, for example, is a right handed helix. </w:t>
      </w:r>
      <w:r>
        <w:rPr>
          <w:spacing w:val="-3"/>
        </w:rPr>
        <w:t>If </w:t>
      </w:r>
      <w:r>
        <w:rPr/>
        <w:t>a polypeptide adopting α- helical structure is synthesized using D-amino acids, it folds into the left-handed α- helix under identical conditions. The other structural features of a polypeptide backbone include β-sheets, that are comprised of extended polypeptide chains; β- turns, that usually, but not essentially, link the β-strands in an antiparallel β-sheet; and unordered conformation. CD spectra of the proteins contain information about the asymmetric features of the polypeptide backbone. Furthermore, it can provide information about the orientation of the side chains. CD, therefore, is capable of providing information about the structure of proteins which in turn helps understanding their function. The chromophore that provides information about the conformation of the peptide backbone is the peptide bond (Figure 9.1); the spectra are therefore recorded in the far UV region, the region where peptide bond</w:t>
      </w:r>
      <w:r>
        <w:rPr>
          <w:spacing w:val="-8"/>
        </w:rPr>
        <w:t> </w:t>
      </w:r>
      <w:r>
        <w:rPr/>
        <w:t>absorbs.</w:t>
      </w:r>
    </w:p>
    <w:p>
      <w:pPr>
        <w:pStyle w:val="BodyText"/>
        <w:rPr>
          <w:sz w:val="20"/>
        </w:rPr>
      </w:pPr>
    </w:p>
    <w:p>
      <w:pPr>
        <w:pStyle w:val="BodyText"/>
        <w:spacing w:before="7"/>
        <w:rPr>
          <w:sz w:val="14"/>
        </w:rPr>
      </w:pPr>
      <w:r>
        <w:rPr/>
        <w:drawing>
          <wp:anchor distT="0" distB="0" distL="0" distR="0" allowOverlap="1" layoutInCell="1" locked="0" behindDoc="0" simplePos="0" relativeHeight="112">
            <wp:simplePos x="0" y="0"/>
            <wp:positionH relativeFrom="page">
              <wp:posOffset>2044075</wp:posOffset>
            </wp:positionH>
            <wp:positionV relativeFrom="paragraph">
              <wp:posOffset>131532</wp:posOffset>
            </wp:positionV>
            <wp:extent cx="3660064" cy="1458468"/>
            <wp:effectExtent l="0" t="0" r="0" b="0"/>
            <wp:wrapTopAndBottom/>
            <wp:docPr id="99" name="image53.png" descr="Figure 9.1.tif"/>
            <wp:cNvGraphicFramePr>
              <a:graphicFrameLocks noChangeAspect="1"/>
            </wp:cNvGraphicFramePr>
            <a:graphic>
              <a:graphicData uri="http://schemas.openxmlformats.org/drawingml/2006/picture">
                <pic:pic>
                  <pic:nvPicPr>
                    <pic:cNvPr id="100" name="image53.png"/>
                    <pic:cNvPicPr/>
                  </pic:nvPicPr>
                  <pic:blipFill>
                    <a:blip r:embed="rId61" cstate="print"/>
                    <a:stretch>
                      <a:fillRect/>
                    </a:stretch>
                  </pic:blipFill>
                  <pic:spPr>
                    <a:xfrm>
                      <a:off x="0" y="0"/>
                      <a:ext cx="3660064" cy="1458468"/>
                    </a:xfrm>
                    <a:prstGeom prst="rect">
                      <a:avLst/>
                    </a:prstGeom>
                  </pic:spPr>
                </pic:pic>
              </a:graphicData>
            </a:graphic>
          </wp:anchor>
        </w:drawing>
      </w:r>
    </w:p>
    <w:p>
      <w:pPr>
        <w:pStyle w:val="BodyText"/>
        <w:spacing w:before="9"/>
        <w:rPr>
          <w:sz w:val="26"/>
        </w:rPr>
      </w:pPr>
    </w:p>
    <w:p>
      <w:pPr>
        <w:spacing w:before="0"/>
        <w:ind w:left="795" w:right="617" w:firstLine="0"/>
        <w:jc w:val="center"/>
        <w:rPr>
          <w:b/>
          <w:sz w:val="16"/>
        </w:rPr>
      </w:pPr>
      <w:r>
        <w:rPr>
          <w:b/>
          <w:sz w:val="16"/>
        </w:rPr>
        <w:t>Figure 9.1 The peptide bond showing molecular orbitals involved in electronic transitions</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9"/>
        <w:jc w:val="both"/>
      </w:pPr>
      <w:r>
        <w:rPr/>
        <w:t>Let us have a look at the CD spectra characteristic of the different structural components of the proteins (Figure 9.2).</w:t>
      </w:r>
    </w:p>
    <w:p>
      <w:pPr>
        <w:pStyle w:val="ListParagraph"/>
        <w:numPr>
          <w:ilvl w:val="1"/>
          <w:numId w:val="10"/>
        </w:numPr>
        <w:tabs>
          <w:tab w:pos="1020" w:val="left" w:leader="none"/>
        </w:tabs>
        <w:spacing w:line="357" w:lineRule="auto" w:before="0" w:after="0"/>
        <w:ind w:left="1020" w:right="315" w:hanging="360"/>
        <w:jc w:val="both"/>
        <w:rPr>
          <w:sz w:val="24"/>
        </w:rPr>
      </w:pPr>
      <w:r>
        <w:rPr>
          <w:i/>
          <w:sz w:val="24"/>
        </w:rPr>
        <w:t>α-helix: </w:t>
      </w:r>
      <w:r>
        <w:rPr>
          <w:sz w:val="24"/>
        </w:rPr>
        <w:t>The right handed α-helix displays two negative absorption bands centered around 222 nm (</w:t>
      </w:r>
      <w:r>
        <w:rPr>
          <w:i/>
          <w:sz w:val="24"/>
        </w:rPr>
        <w:t>n → π* </w:t>
      </w:r>
      <w:r>
        <w:rPr>
          <w:sz w:val="24"/>
        </w:rPr>
        <w:t>transition) and 208 nm (a part of the </w:t>
      </w:r>
      <w:r>
        <w:rPr>
          <w:i/>
          <w:sz w:val="24"/>
        </w:rPr>
        <w:t>π → π* </w:t>
      </w:r>
      <w:r>
        <w:rPr>
          <w:sz w:val="24"/>
        </w:rPr>
        <w:t>transition) and a strong positive band around 192 nm (a part of the </w:t>
      </w:r>
      <w:r>
        <w:rPr>
          <w:i/>
          <w:sz w:val="24"/>
        </w:rPr>
        <w:t>π → π* </w:t>
      </w:r>
      <w:r>
        <w:rPr>
          <w:sz w:val="24"/>
        </w:rPr>
        <w:t>transition).</w:t>
      </w:r>
    </w:p>
    <w:p>
      <w:pPr>
        <w:pStyle w:val="ListParagraph"/>
        <w:numPr>
          <w:ilvl w:val="1"/>
          <w:numId w:val="10"/>
        </w:numPr>
        <w:tabs>
          <w:tab w:pos="1020" w:val="left" w:leader="none"/>
        </w:tabs>
        <w:spacing w:line="355" w:lineRule="auto" w:before="1" w:after="0"/>
        <w:ind w:left="1020" w:right="317" w:hanging="360"/>
        <w:jc w:val="both"/>
        <w:rPr>
          <w:sz w:val="24"/>
        </w:rPr>
      </w:pPr>
      <w:r>
        <w:rPr>
          <w:i/>
          <w:sz w:val="24"/>
        </w:rPr>
        <w:t>β-sheet: </w:t>
      </w:r>
      <w:r>
        <w:rPr>
          <w:sz w:val="24"/>
        </w:rPr>
        <w:t>β-sheets are characterized by the presence of a negative band centered around 216-218 nm (</w:t>
      </w:r>
      <w:r>
        <w:rPr>
          <w:i/>
          <w:sz w:val="24"/>
        </w:rPr>
        <w:t>n → π* </w:t>
      </w:r>
      <w:r>
        <w:rPr>
          <w:sz w:val="24"/>
        </w:rPr>
        <w:t>transition) and a positive band of comparable intensity at around 195 nm (</w:t>
      </w:r>
      <w:r>
        <w:rPr>
          <w:i/>
          <w:sz w:val="24"/>
        </w:rPr>
        <w:t>π → π*</w:t>
      </w:r>
      <w:r>
        <w:rPr>
          <w:i/>
          <w:spacing w:val="-7"/>
          <w:sz w:val="24"/>
        </w:rPr>
        <w:t> </w:t>
      </w:r>
      <w:r>
        <w:rPr>
          <w:sz w:val="24"/>
        </w:rPr>
        <w:t>transition).</w:t>
      </w:r>
    </w:p>
    <w:p>
      <w:pPr>
        <w:pStyle w:val="ListParagraph"/>
        <w:numPr>
          <w:ilvl w:val="1"/>
          <w:numId w:val="10"/>
        </w:numPr>
        <w:tabs>
          <w:tab w:pos="1020" w:val="left" w:leader="none"/>
        </w:tabs>
        <w:spacing w:line="357" w:lineRule="auto" w:before="8" w:after="0"/>
        <w:ind w:left="1020" w:right="315" w:hanging="360"/>
        <w:jc w:val="both"/>
        <w:rPr>
          <w:sz w:val="24"/>
        </w:rPr>
      </w:pPr>
      <w:r>
        <w:rPr>
          <w:i/>
          <w:sz w:val="24"/>
        </w:rPr>
        <w:t>β-turn: </w:t>
      </w:r>
      <w:r>
        <w:rPr>
          <w:sz w:val="24"/>
        </w:rPr>
        <w:t>A β-turn comprises of a four residue protein motif that causes the polypeptide backbone to take an approximately 180° turn. The CD spectrum for a β-turn is not well defined. A typical β-turn, however, shows a weak negative band around 225 nm (</w:t>
      </w:r>
      <w:r>
        <w:rPr>
          <w:i/>
          <w:sz w:val="24"/>
        </w:rPr>
        <w:t>n → π* </w:t>
      </w:r>
      <w:r>
        <w:rPr>
          <w:sz w:val="24"/>
        </w:rPr>
        <w:t>transition), a strong positive band between 200 – 205 nm (</w:t>
      </w:r>
      <w:r>
        <w:rPr>
          <w:i/>
          <w:sz w:val="24"/>
        </w:rPr>
        <w:t>π → π* </w:t>
      </w:r>
      <w:r>
        <w:rPr>
          <w:sz w:val="24"/>
        </w:rPr>
        <w:t>transition), and a strong negative band (</w:t>
      </w:r>
      <w:r>
        <w:rPr>
          <w:i/>
          <w:sz w:val="24"/>
        </w:rPr>
        <w:t>π → </w:t>
      </w:r>
      <w:r>
        <w:rPr>
          <w:i/>
          <w:sz w:val="24"/>
        </w:rPr>
        <w:t>π* </w:t>
      </w:r>
      <w:r>
        <w:rPr>
          <w:sz w:val="24"/>
        </w:rPr>
        <w:t>transition) between 180 – 190</w:t>
      </w:r>
      <w:r>
        <w:rPr>
          <w:spacing w:val="-2"/>
          <w:sz w:val="24"/>
        </w:rPr>
        <w:t> </w:t>
      </w:r>
      <w:r>
        <w:rPr>
          <w:sz w:val="24"/>
        </w:rPr>
        <w:t>nm.</w:t>
      </w:r>
    </w:p>
    <w:p>
      <w:pPr>
        <w:pStyle w:val="ListParagraph"/>
        <w:numPr>
          <w:ilvl w:val="1"/>
          <w:numId w:val="10"/>
        </w:numPr>
        <w:tabs>
          <w:tab w:pos="1020" w:val="left" w:leader="none"/>
        </w:tabs>
        <w:spacing w:line="355" w:lineRule="auto" w:before="7" w:after="0"/>
        <w:ind w:left="1019" w:right="315" w:hanging="360"/>
        <w:jc w:val="both"/>
        <w:rPr>
          <w:sz w:val="24"/>
        </w:rPr>
      </w:pPr>
      <w:r>
        <w:rPr/>
        <w:drawing>
          <wp:anchor distT="0" distB="0" distL="0" distR="0" allowOverlap="1" layoutInCell="1" locked="0" behindDoc="0" simplePos="0" relativeHeight="113">
            <wp:simplePos x="0" y="0"/>
            <wp:positionH relativeFrom="page">
              <wp:posOffset>1751254</wp:posOffset>
            </wp:positionH>
            <wp:positionV relativeFrom="paragraph">
              <wp:posOffset>852065</wp:posOffset>
            </wp:positionV>
            <wp:extent cx="4243213" cy="3499104"/>
            <wp:effectExtent l="0" t="0" r="0" b="0"/>
            <wp:wrapTopAndBottom/>
            <wp:docPr id="101" name="image54.jpeg" descr="Figure 9.2.tif"/>
            <wp:cNvGraphicFramePr>
              <a:graphicFrameLocks noChangeAspect="1"/>
            </wp:cNvGraphicFramePr>
            <a:graphic>
              <a:graphicData uri="http://schemas.openxmlformats.org/drawingml/2006/picture">
                <pic:pic>
                  <pic:nvPicPr>
                    <pic:cNvPr id="102" name="image54.jpeg"/>
                    <pic:cNvPicPr/>
                  </pic:nvPicPr>
                  <pic:blipFill>
                    <a:blip r:embed="rId62" cstate="print"/>
                    <a:stretch>
                      <a:fillRect/>
                    </a:stretch>
                  </pic:blipFill>
                  <pic:spPr>
                    <a:xfrm>
                      <a:off x="0" y="0"/>
                      <a:ext cx="4243213" cy="3499104"/>
                    </a:xfrm>
                    <a:prstGeom prst="rect">
                      <a:avLst/>
                    </a:prstGeom>
                  </pic:spPr>
                </pic:pic>
              </a:graphicData>
            </a:graphic>
          </wp:anchor>
        </w:drawing>
      </w:r>
      <w:r>
        <w:rPr>
          <w:i/>
          <w:sz w:val="24"/>
        </w:rPr>
        <w:t>Random coil: </w:t>
      </w:r>
      <w:r>
        <w:rPr>
          <w:sz w:val="24"/>
        </w:rPr>
        <w:t>Random coil or unordered conformation shows a weak positive band around 218 nm (</w:t>
      </w:r>
      <w:r>
        <w:rPr>
          <w:i/>
          <w:sz w:val="24"/>
        </w:rPr>
        <w:t>n → π* </w:t>
      </w:r>
      <w:r>
        <w:rPr>
          <w:sz w:val="24"/>
        </w:rPr>
        <w:t>transition) and a strong negative band (</w:t>
      </w:r>
      <w:r>
        <w:rPr>
          <w:i/>
          <w:sz w:val="24"/>
        </w:rPr>
        <w:t>π → π* </w:t>
      </w:r>
      <w:r>
        <w:rPr>
          <w:sz w:val="24"/>
        </w:rPr>
        <w:t>transition) below 200</w:t>
      </w:r>
      <w:r>
        <w:rPr>
          <w:spacing w:val="-3"/>
          <w:sz w:val="24"/>
        </w:rPr>
        <w:t> </w:t>
      </w:r>
      <w:r>
        <w:rPr>
          <w:sz w:val="24"/>
        </w:rPr>
        <w:t>nm.</w:t>
      </w:r>
    </w:p>
    <w:p>
      <w:pPr>
        <w:pStyle w:val="BodyText"/>
        <w:spacing w:before="6"/>
        <w:rPr>
          <w:sz w:val="32"/>
        </w:rPr>
      </w:pPr>
    </w:p>
    <w:p>
      <w:pPr>
        <w:spacing w:before="0"/>
        <w:ind w:left="674" w:right="0" w:firstLine="0"/>
        <w:jc w:val="left"/>
        <w:rPr>
          <w:b/>
          <w:sz w:val="16"/>
        </w:rPr>
      </w:pPr>
      <w:r>
        <w:rPr>
          <w:b/>
          <w:sz w:val="16"/>
        </w:rPr>
        <w:t>Figure 9.2 Far UV circular dichroism spectra of α-helix (red), β-sheet (blue), and unordered conformation (green)</w:t>
      </w:r>
    </w:p>
    <w:p>
      <w:pPr>
        <w:spacing w:after="0"/>
        <w:jc w:val="left"/>
        <w:rPr>
          <w:sz w:val="16"/>
        </w:rPr>
        <w:sectPr>
          <w:pgSz w:w="11910" w:h="16840"/>
          <w:pgMar w:header="722" w:footer="748" w:top="1300" w:bottom="940" w:left="1500" w:right="1480"/>
        </w:sectPr>
      </w:pPr>
    </w:p>
    <w:p>
      <w:pPr>
        <w:pStyle w:val="BodyText"/>
        <w:spacing w:line="360" w:lineRule="auto" w:before="119"/>
        <w:ind w:left="300" w:right="320"/>
        <w:jc w:val="both"/>
      </w:pPr>
      <w:r>
        <w:rPr/>
        <w:t>The CD spectrum of a protein can be written as a linear combination of the spectra of all the structural components:</w:t>
      </w:r>
    </w:p>
    <w:p>
      <w:pPr>
        <w:spacing w:before="0"/>
        <w:ind w:left="1080" w:right="0" w:firstLine="0"/>
        <w:jc w:val="both"/>
        <w:rPr>
          <w:i/>
          <w:sz w:val="24"/>
        </w:rPr>
      </w:pPr>
      <w:r>
        <w:rPr>
          <w:i/>
          <w:sz w:val="24"/>
        </w:rPr>
        <w:t>CD (protein) = a CD(α-helix) + b CD(β-sheet) + c CD (Random coil)</w:t>
      </w:r>
    </w:p>
    <w:p>
      <w:pPr>
        <w:pStyle w:val="BodyText"/>
        <w:spacing w:line="360" w:lineRule="auto" w:before="137"/>
        <w:ind w:left="299" w:right="315"/>
        <w:jc w:val="both"/>
      </w:pPr>
      <w:r>
        <w:rPr/>
        <w:t>As the CD spectra of different structural components are quite distinct, it is possible  to estimate the fraction of different structural components in a protein from its CD spectrum. As discussed in lecture 5, proteins also have chromophores that absorb in the near UV region. These include the aromatic amino acids and disulfide linkages. The CD of aromatic amino acids is highly dependent on their environment and therefore near UV CD of proteins can provide the information about the environments these residues reside in as well as their orientations in the structure. As it provides information about the tertiary region, near UV CD is also referred to as tertiary CD in the context of the</w:t>
      </w:r>
      <w:r>
        <w:rPr>
          <w:spacing w:val="-4"/>
        </w:rPr>
        <w:t> </w:t>
      </w:r>
      <w:r>
        <w:rPr/>
        <w:t>proteins.</w:t>
      </w:r>
    </w:p>
    <w:p>
      <w:pPr>
        <w:spacing w:before="2"/>
        <w:ind w:left="299" w:right="0" w:firstLine="0"/>
        <w:jc w:val="both"/>
        <w:rPr>
          <w:i/>
          <w:sz w:val="24"/>
        </w:rPr>
      </w:pPr>
      <w:r>
        <w:rPr>
          <w:i/>
          <w:sz w:val="24"/>
        </w:rPr>
        <w:t>CD of nucleic acids</w:t>
      </w:r>
    </w:p>
    <w:p>
      <w:pPr>
        <w:pStyle w:val="BodyText"/>
        <w:spacing w:line="360" w:lineRule="auto" w:before="137"/>
        <w:ind w:left="299" w:right="317"/>
        <w:jc w:val="both"/>
      </w:pPr>
      <w:r>
        <w:rPr/>
        <w:t>As mentioned in lecture 5, nitrogenous bases constitute the chromophores of nucleic acids in the near and far UV region. The CD of the stacked bases is larger in magnitude as compared to that of the isolated bases. As the double helical nucleic acids have stacked bases, what we measure essentially is the CD that arises due to coupling of the chromophores. As the stacking geometries are different for different forms of nucleic acids such as B-DNA, Z-DNA, and A DNA; CD can help in determining which DNA form is present in a given sample.</w:t>
      </w:r>
    </w:p>
    <w:p>
      <w:pPr>
        <w:pStyle w:val="BodyText"/>
        <w:spacing w:before="4"/>
        <w:rPr>
          <w:sz w:val="36"/>
        </w:rPr>
      </w:pPr>
    </w:p>
    <w:p>
      <w:pPr>
        <w:pStyle w:val="Heading4"/>
        <w:spacing w:before="1"/>
      </w:pPr>
      <w:r>
        <w:rPr/>
        <w:t>Applications in biomolecular analysis</w:t>
      </w:r>
    </w:p>
    <w:p>
      <w:pPr>
        <w:pStyle w:val="ListParagraph"/>
        <w:numPr>
          <w:ilvl w:val="0"/>
          <w:numId w:val="11"/>
        </w:numPr>
        <w:tabs>
          <w:tab w:pos="1020" w:val="left" w:leader="none"/>
        </w:tabs>
        <w:spacing w:line="360" w:lineRule="auto" w:before="134" w:after="0"/>
        <w:ind w:left="1019" w:right="313" w:hanging="488"/>
        <w:jc w:val="both"/>
        <w:rPr>
          <w:sz w:val="24"/>
        </w:rPr>
      </w:pPr>
      <w:r>
        <w:rPr>
          <w:sz w:val="24"/>
        </w:rPr>
        <w:t>Determination of protein/peptide structure: As has already been discussed earlier, far UV CD spectroscopy provides information about the secondary structural elements in a protein. A mixture of structures can be deconvoluted to obtain the fraction of different structural elements. Furthermore, near UV CD provides information about the tertiary structure of the</w:t>
      </w:r>
      <w:r>
        <w:rPr>
          <w:spacing w:val="-12"/>
          <w:sz w:val="24"/>
        </w:rPr>
        <w:t> </w:t>
      </w:r>
      <w:r>
        <w:rPr>
          <w:sz w:val="24"/>
        </w:rPr>
        <w:t>protein.</w:t>
      </w:r>
    </w:p>
    <w:p>
      <w:pPr>
        <w:pStyle w:val="ListParagraph"/>
        <w:numPr>
          <w:ilvl w:val="0"/>
          <w:numId w:val="11"/>
        </w:numPr>
        <w:tabs>
          <w:tab w:pos="1020" w:val="left" w:leader="none"/>
        </w:tabs>
        <w:spacing w:line="360" w:lineRule="auto" w:before="0" w:after="0"/>
        <w:ind w:left="1019" w:right="316" w:hanging="555"/>
        <w:jc w:val="both"/>
        <w:rPr>
          <w:sz w:val="24"/>
        </w:rPr>
      </w:pPr>
      <w:r>
        <w:rPr>
          <w:sz w:val="24"/>
        </w:rPr>
        <w:t>Comparison of structures: Mutants of proteins are often required for understanding the functions of the proteins. It, however, needs to be ascertained that the mutation does not cause any significant change in the overall structure of the protein. CD spectroscopy happens to be a fast and extremely reliable tool to compare the conformations of the wild type proteins with their</w:t>
      </w:r>
      <w:r>
        <w:rPr>
          <w:spacing w:val="-2"/>
          <w:sz w:val="24"/>
        </w:rPr>
        <w:t> </w:t>
      </w:r>
      <w:r>
        <w:rPr>
          <w:sz w:val="24"/>
        </w:rPr>
        <w:t>mutants.</w:t>
      </w:r>
    </w:p>
    <w:p>
      <w:pPr>
        <w:spacing w:after="0" w:line="360" w:lineRule="auto"/>
        <w:jc w:val="both"/>
        <w:rPr>
          <w:sz w:val="24"/>
        </w:rPr>
        <w:sectPr>
          <w:pgSz w:w="11910" w:h="16840"/>
          <w:pgMar w:header="722" w:footer="748" w:top="1300" w:bottom="940" w:left="1500" w:right="1480"/>
        </w:sectPr>
      </w:pPr>
    </w:p>
    <w:p>
      <w:pPr>
        <w:pStyle w:val="ListParagraph"/>
        <w:numPr>
          <w:ilvl w:val="0"/>
          <w:numId w:val="11"/>
        </w:numPr>
        <w:tabs>
          <w:tab w:pos="1020" w:val="left" w:leader="none"/>
        </w:tabs>
        <w:spacing w:line="360" w:lineRule="auto" w:before="119" w:after="9"/>
        <w:ind w:left="1020" w:right="314" w:hanging="620"/>
        <w:jc w:val="both"/>
        <w:rPr>
          <w:sz w:val="24"/>
        </w:rPr>
      </w:pPr>
      <w:r>
        <w:rPr>
          <w:sz w:val="24"/>
        </w:rPr>
        <w:t>Stability of proteins: Stability of the proteins to denaturants or heat can be studied using CD spectroscopy. In such studies CD is usually monitored at a single wavelength, typically around 220 nm. Plotting the change in ellipticity against increasing denaturant concentration/temperature provides the denaturation curve. Figure 9.3 shows the denaturation curves for three related proteins. The denaturation curves suggest that the protein indicated with the blue trace is most stable while the one indicated with red trace the</w:t>
      </w:r>
      <w:r>
        <w:rPr>
          <w:spacing w:val="-12"/>
          <w:sz w:val="24"/>
        </w:rPr>
        <w:t> </w:t>
      </w:r>
      <w:r>
        <w:rPr>
          <w:sz w:val="24"/>
        </w:rPr>
        <w:t>least.</w:t>
      </w:r>
    </w:p>
    <w:p>
      <w:pPr>
        <w:pStyle w:val="BodyText"/>
        <w:ind w:left="2750"/>
        <w:rPr>
          <w:sz w:val="20"/>
        </w:rPr>
      </w:pPr>
      <w:r>
        <w:rPr>
          <w:sz w:val="20"/>
        </w:rPr>
        <w:drawing>
          <wp:inline distT="0" distB="0" distL="0" distR="0">
            <wp:extent cx="2320332" cy="1883664"/>
            <wp:effectExtent l="0" t="0" r="0" b="0"/>
            <wp:docPr id="103" name="image55.jpeg" descr="Figures 9.3.tif"/>
            <wp:cNvGraphicFramePr>
              <a:graphicFrameLocks noChangeAspect="1"/>
            </wp:cNvGraphicFramePr>
            <a:graphic>
              <a:graphicData uri="http://schemas.openxmlformats.org/drawingml/2006/picture">
                <pic:pic>
                  <pic:nvPicPr>
                    <pic:cNvPr id="104" name="image55.jpeg"/>
                    <pic:cNvPicPr/>
                  </pic:nvPicPr>
                  <pic:blipFill>
                    <a:blip r:embed="rId63" cstate="print"/>
                    <a:stretch>
                      <a:fillRect/>
                    </a:stretch>
                  </pic:blipFill>
                  <pic:spPr>
                    <a:xfrm>
                      <a:off x="0" y="0"/>
                      <a:ext cx="2320332" cy="1883664"/>
                    </a:xfrm>
                    <a:prstGeom prst="rect">
                      <a:avLst/>
                    </a:prstGeom>
                  </pic:spPr>
                </pic:pic>
              </a:graphicData>
            </a:graphic>
          </wp:inline>
        </w:drawing>
      </w:r>
      <w:r>
        <w:rPr>
          <w:sz w:val="20"/>
        </w:rPr>
      </w:r>
    </w:p>
    <w:p>
      <w:pPr>
        <w:spacing w:before="170"/>
        <w:ind w:left="556" w:right="0" w:firstLine="0"/>
        <w:jc w:val="left"/>
        <w:rPr>
          <w:b/>
          <w:sz w:val="16"/>
        </w:rPr>
      </w:pPr>
      <w:r>
        <w:rPr>
          <w:b/>
          <w:sz w:val="16"/>
        </w:rPr>
        <w:t>Figure 9.3 Comparison of thermostability of three related proteins. The blue trace represents the most stable protein.</w:t>
      </w:r>
    </w:p>
    <w:p>
      <w:pPr>
        <w:pStyle w:val="BodyText"/>
        <w:spacing w:before="10"/>
        <w:rPr>
          <w:b/>
        </w:rPr>
      </w:pPr>
    </w:p>
    <w:p>
      <w:pPr>
        <w:pStyle w:val="ListParagraph"/>
        <w:numPr>
          <w:ilvl w:val="0"/>
          <w:numId w:val="11"/>
        </w:numPr>
        <w:tabs>
          <w:tab w:pos="1020" w:val="left" w:leader="none"/>
        </w:tabs>
        <w:spacing w:line="360" w:lineRule="auto" w:before="0" w:after="0"/>
        <w:ind w:left="1020" w:right="315" w:hanging="608"/>
        <w:jc w:val="both"/>
        <w:rPr>
          <w:sz w:val="24"/>
        </w:rPr>
      </w:pPr>
      <w:r>
        <w:rPr>
          <w:sz w:val="24"/>
        </w:rPr>
        <w:t>Binding of ligands to proteins: Binding of a ligand to a protein usually does not affect the secondary structural elements significantly. However, such a binding can cause changes in the local tertiary structure. Binding of ligands accompanying such conformational changes can be studied using tertiary CD if the binding region happens to have one or more aromatic residues. Short peptides, on the other hand, can undergo large scale structural changes sometime involving completely switching from one secondary structure to another. Such changes can easily be observed using far UV</w:t>
      </w:r>
      <w:r>
        <w:rPr>
          <w:spacing w:val="-13"/>
          <w:sz w:val="24"/>
        </w:rPr>
        <w:t> </w:t>
      </w:r>
      <w:r>
        <w:rPr>
          <w:sz w:val="24"/>
        </w:rPr>
        <w:t>CD.</w:t>
      </w:r>
    </w:p>
    <w:p>
      <w:pPr>
        <w:pStyle w:val="ListParagraph"/>
        <w:numPr>
          <w:ilvl w:val="0"/>
          <w:numId w:val="11"/>
        </w:numPr>
        <w:tabs>
          <w:tab w:pos="1020" w:val="left" w:leader="none"/>
        </w:tabs>
        <w:spacing w:line="360" w:lineRule="auto" w:before="0" w:after="0"/>
        <w:ind w:left="1019" w:right="315" w:hanging="540"/>
        <w:jc w:val="both"/>
        <w:rPr>
          <w:sz w:val="24"/>
        </w:rPr>
      </w:pPr>
      <w:r>
        <w:rPr>
          <w:sz w:val="24"/>
        </w:rPr>
        <w:t>DNA structure: CD in the 200 – 300 nm region can be used to identify which structural isoform of DNA is present in the given sample. The left-handed helical DNA form, the Z-DNA was indeed identified using CD spectroscopy. The typical CD signatures of the B, Z, and A form of DNA</w:t>
      </w:r>
      <w:r>
        <w:rPr>
          <w:spacing w:val="-7"/>
          <w:sz w:val="24"/>
        </w:rPr>
        <w:t> </w:t>
      </w:r>
      <w:r>
        <w:rPr>
          <w:sz w:val="24"/>
        </w:rPr>
        <w:t>are:</w:t>
      </w:r>
    </w:p>
    <w:p>
      <w:pPr>
        <w:pStyle w:val="BodyText"/>
        <w:spacing w:line="360" w:lineRule="auto"/>
        <w:ind w:left="1020" w:right="316"/>
        <w:jc w:val="both"/>
      </w:pPr>
      <w:r>
        <w:rPr>
          <w:i/>
        </w:rPr>
        <w:t>B-DNA: </w:t>
      </w:r>
      <w:r>
        <w:rPr/>
        <w:t>In its most common form </w:t>
      </w:r>
      <w:r>
        <w:rPr>
          <w:i/>
        </w:rPr>
        <w:t>i.e. </w:t>
      </w:r>
      <w:r>
        <w:rPr/>
        <w:t>B-DNA with ~10.4 bases per turn, a positive band ~275 nm, a crossover ~258 nm, and a negative band at ~240 nm are observed.</w:t>
      </w:r>
    </w:p>
    <w:p>
      <w:pPr>
        <w:pStyle w:val="BodyText"/>
        <w:spacing w:line="360" w:lineRule="auto" w:before="2"/>
        <w:ind w:left="1020" w:right="317"/>
        <w:jc w:val="both"/>
      </w:pPr>
      <w:r>
        <w:rPr>
          <w:i/>
        </w:rPr>
        <w:t>Z-DNA: </w:t>
      </w:r>
      <w:r>
        <w:rPr/>
        <w:t>A negative band ~290 nm and a positive band ~260 nm; a crossover between 180-185 nm.</w:t>
      </w:r>
    </w:p>
    <w:p>
      <w:pPr>
        <w:pStyle w:val="BodyText"/>
        <w:ind w:left="1020"/>
        <w:jc w:val="both"/>
      </w:pPr>
      <w:r>
        <w:rPr>
          <w:i/>
        </w:rPr>
        <w:t>A-DNA: </w:t>
      </w:r>
      <w:r>
        <w:rPr/>
        <w:t>A positive band ~260 nm, a negative band ~210 nm.</w:t>
      </w:r>
    </w:p>
    <w:p>
      <w:pPr>
        <w:spacing w:after="0"/>
        <w:jc w:val="both"/>
        <w:sectPr>
          <w:pgSz w:w="11910" w:h="16840"/>
          <w:pgMar w:header="722" w:footer="748" w:top="1300" w:bottom="940" w:left="1500" w:right="1480"/>
        </w:sectPr>
      </w:pPr>
    </w:p>
    <w:p>
      <w:pPr>
        <w:pStyle w:val="ListParagraph"/>
        <w:numPr>
          <w:ilvl w:val="0"/>
          <w:numId w:val="11"/>
        </w:numPr>
        <w:tabs>
          <w:tab w:pos="1020" w:val="left" w:leader="none"/>
        </w:tabs>
        <w:spacing w:line="360" w:lineRule="auto" w:before="119" w:after="16"/>
        <w:ind w:left="1020" w:right="315" w:hanging="608"/>
        <w:jc w:val="both"/>
        <w:rPr>
          <w:sz w:val="24"/>
        </w:rPr>
      </w:pPr>
      <w:r>
        <w:rPr>
          <w:sz w:val="24"/>
        </w:rPr>
        <w:t>Protein folding/unfolding: CD is used for studying the folding and unfolding of proteins. For monitoring the fast reactions such as protein folding, a single wavelength CD is recorded in a stopped flow experiment wherein the protein solution is mixed with a denaturant and CD is recorded as a function of time. Modern instruments take ~1 millisecond time between mixing and recording data allowing the understanding of the folding/unfolding events that occur on milliseconds to seconds timescale. A diagrammatic unfolding experiment is shown in figure</w:t>
      </w:r>
      <w:r>
        <w:rPr>
          <w:spacing w:val="-2"/>
          <w:sz w:val="24"/>
        </w:rPr>
        <w:t> </w:t>
      </w:r>
      <w:r>
        <w:rPr>
          <w:sz w:val="24"/>
        </w:rPr>
        <w:t>9.4</w:t>
      </w:r>
    </w:p>
    <w:p>
      <w:pPr>
        <w:pStyle w:val="BodyText"/>
        <w:ind w:left="1091"/>
        <w:rPr>
          <w:sz w:val="20"/>
        </w:rPr>
      </w:pPr>
      <w:r>
        <w:rPr>
          <w:sz w:val="20"/>
        </w:rPr>
        <w:drawing>
          <wp:inline distT="0" distB="0" distL="0" distR="0">
            <wp:extent cx="4457572" cy="2380488"/>
            <wp:effectExtent l="0" t="0" r="0" b="0"/>
            <wp:docPr id="105" name="image56.png" descr="Figure 9.4.tif"/>
            <wp:cNvGraphicFramePr>
              <a:graphicFrameLocks noChangeAspect="1"/>
            </wp:cNvGraphicFramePr>
            <a:graphic>
              <a:graphicData uri="http://schemas.openxmlformats.org/drawingml/2006/picture">
                <pic:pic>
                  <pic:nvPicPr>
                    <pic:cNvPr id="106" name="image56.png"/>
                    <pic:cNvPicPr/>
                  </pic:nvPicPr>
                  <pic:blipFill>
                    <a:blip r:embed="rId64" cstate="print"/>
                    <a:stretch>
                      <a:fillRect/>
                    </a:stretch>
                  </pic:blipFill>
                  <pic:spPr>
                    <a:xfrm>
                      <a:off x="0" y="0"/>
                      <a:ext cx="4457572" cy="2380488"/>
                    </a:xfrm>
                    <a:prstGeom prst="rect">
                      <a:avLst/>
                    </a:prstGeom>
                  </pic:spPr>
                </pic:pic>
              </a:graphicData>
            </a:graphic>
          </wp:inline>
        </w:drawing>
      </w:r>
      <w:r>
        <w:rPr>
          <w:sz w:val="20"/>
        </w:rPr>
      </w:r>
    </w:p>
    <w:p>
      <w:pPr>
        <w:pStyle w:val="BodyText"/>
        <w:rPr>
          <w:sz w:val="27"/>
        </w:rPr>
      </w:pPr>
    </w:p>
    <w:p>
      <w:pPr>
        <w:spacing w:line="362" w:lineRule="auto" w:before="1"/>
        <w:ind w:left="496" w:right="317" w:firstLine="0"/>
        <w:jc w:val="both"/>
        <w:rPr>
          <w:b/>
          <w:sz w:val="16"/>
        </w:rPr>
      </w:pPr>
      <w:r>
        <w:rPr>
          <w:b/>
          <w:sz w:val="16"/>
        </w:rPr>
        <w:t>Figure 9.4 A diagram showing the kinetics of unfolding of a hypothetical protein. The protein is unfolded with different concentrations of a denaturant. Protein and denaturant are mixed in a stopped flow apparatus (mixing time typically ~1 ms) and changes in ellipticity are monitored over</w:t>
      </w:r>
      <w:r>
        <w:rPr>
          <w:b/>
          <w:spacing w:val="-7"/>
          <w:sz w:val="16"/>
        </w:rPr>
        <w:t> </w:t>
      </w:r>
      <w:r>
        <w:rPr>
          <w:b/>
          <w:sz w:val="16"/>
        </w:rPr>
        <w:t>time.</w:t>
      </w:r>
    </w:p>
    <w:p>
      <w:pPr>
        <w:pStyle w:val="BodyText"/>
        <w:spacing w:before="9"/>
        <w:rPr>
          <w:b/>
          <w:sz w:val="16"/>
        </w:rPr>
      </w:pPr>
    </w:p>
    <w:p>
      <w:pPr>
        <w:pStyle w:val="ListParagraph"/>
        <w:numPr>
          <w:ilvl w:val="0"/>
          <w:numId w:val="11"/>
        </w:numPr>
        <w:tabs>
          <w:tab w:pos="1020" w:val="left" w:leader="none"/>
        </w:tabs>
        <w:spacing w:line="360" w:lineRule="auto" w:before="0" w:after="0"/>
        <w:ind w:left="1019" w:right="316" w:hanging="675"/>
        <w:jc w:val="both"/>
        <w:rPr>
          <w:sz w:val="24"/>
        </w:rPr>
      </w:pPr>
      <w:r>
        <w:rPr>
          <w:sz w:val="24"/>
        </w:rPr>
        <w:t>Molecular self-assembly: Self-assembly into structural and functional superstructures is integral to biomolecules and therefore to living systems. Inspired by the naturally occurring superstructures, short peptides have attracted considerable attention as the monomers for designing superstructures with novel properties and applications in biomedicine. Circular dichroism has been central in elucidating the conformations of the peptides in superstructures as well as the interactions that drive this</w:t>
      </w:r>
      <w:r>
        <w:rPr>
          <w:spacing w:val="-4"/>
          <w:sz w:val="24"/>
        </w:rPr>
        <w:t> </w:t>
      </w:r>
      <w:r>
        <w:rPr>
          <w:sz w:val="24"/>
        </w:rPr>
        <w:t>assembly.</w:t>
      </w:r>
    </w:p>
    <w:p>
      <w:pPr>
        <w:pStyle w:val="BodyText"/>
        <w:spacing w:line="360" w:lineRule="auto"/>
        <w:ind w:left="299" w:right="317"/>
        <w:jc w:val="both"/>
      </w:pPr>
      <w:r>
        <w:rPr/>
        <w:t>Circular dichroism, therefore, is a powerful tool in studying the conformations of biomolecules as well as the processes these molecules are involved in.</w:t>
      </w:r>
    </w:p>
    <w:p>
      <w:pPr>
        <w:spacing w:after="0" w:line="360" w:lineRule="auto"/>
        <w:jc w:val="both"/>
        <w:sectPr>
          <w:pgSz w:w="11910" w:h="16840"/>
          <w:pgMar w:header="722" w:footer="748" w:top="1300" w:bottom="940" w:left="1500" w:right="1480"/>
        </w:sectPr>
      </w:pPr>
    </w:p>
    <w:p>
      <w:pPr>
        <w:pStyle w:val="Heading2"/>
        <w:jc w:val="left"/>
      </w:pPr>
      <w:r>
        <w:rPr/>
        <w:t>Lecture 10 Infrared Spectroscopy</w:t>
      </w:r>
    </w:p>
    <w:p>
      <w:pPr>
        <w:pStyle w:val="BodyText"/>
        <w:spacing w:before="4"/>
        <w:rPr>
          <w:b/>
          <w:sz w:val="33"/>
        </w:rPr>
      </w:pPr>
    </w:p>
    <w:p>
      <w:pPr>
        <w:pStyle w:val="Heading4"/>
        <w:jc w:val="left"/>
      </w:pPr>
      <w:r>
        <w:rPr/>
        <w:t>Introduction</w:t>
      </w:r>
    </w:p>
    <w:p>
      <w:pPr>
        <w:pStyle w:val="BodyText"/>
        <w:spacing w:line="360" w:lineRule="auto" w:before="134"/>
        <w:ind w:left="300" w:right="5082"/>
        <w:jc w:val="both"/>
      </w:pPr>
      <w:r>
        <w:rPr/>
        <w:pict>
          <v:group style="position:absolute;margin-left:276.375pt;margin-top:12.238117pt;width:227.2pt;height:240pt;mso-position-horizontal-relative:page;mso-position-vertical-relative:paragraph;z-index:15789568" coordorigin="5528,245" coordsize="4544,4800">
            <v:rect style="position:absolute;left:5535;top:252;width:4529;height:4785" filled="true" fillcolor="#ffff00" stroked="false">
              <v:fill type="solid"/>
            </v:rect>
            <v:rect style="position:absolute;left:5535;top:252;width:4529;height:4785" filled="false" stroked="true" strokeweight=".75pt" strokecolor="#000000">
              <v:stroke dashstyle="solid"/>
            </v:rect>
            <v:rect style="position:absolute;left:7711;top:4421;width:718;height:17" filled="true" fillcolor="#000000" stroked="false">
              <v:fill type="solid"/>
            </v:rect>
            <v:shape style="position:absolute;left:5688;top:341;width:4249;height:3532" type="#_x0000_t202" filled="false" stroked="false">
              <v:textbox inset="0,0,0,0">
                <w:txbxContent>
                  <w:p>
                    <w:pPr>
                      <w:spacing w:line="266" w:lineRule="exact" w:before="0"/>
                      <w:ind w:left="621" w:right="0" w:firstLine="0"/>
                      <w:jc w:val="left"/>
                      <w:rPr>
                        <w:b/>
                        <w:sz w:val="24"/>
                      </w:rPr>
                    </w:pPr>
                    <w:r>
                      <w:rPr>
                        <w:b/>
                        <w:sz w:val="24"/>
                      </w:rPr>
                      <w:t>Conventions for IR radiation</w:t>
                    </w:r>
                  </w:p>
                  <w:p>
                    <w:pPr>
                      <w:spacing w:line="240" w:lineRule="auto" w:before="7"/>
                      <w:rPr>
                        <w:b/>
                        <w:sz w:val="20"/>
                      </w:rPr>
                    </w:pPr>
                  </w:p>
                  <w:p>
                    <w:pPr>
                      <w:spacing w:line="276" w:lineRule="auto" w:before="0"/>
                      <w:ind w:left="0" w:right="18" w:firstLine="0"/>
                      <w:jc w:val="both"/>
                      <w:rPr>
                        <w:sz w:val="24"/>
                      </w:rPr>
                    </w:pPr>
                    <w:r>
                      <w:rPr>
                        <w:b/>
                        <w:sz w:val="24"/>
                      </w:rPr>
                      <w:t>Wavelength: </w:t>
                    </w:r>
                    <w:r>
                      <w:rPr>
                        <w:sz w:val="24"/>
                      </w:rPr>
                      <w:t>The wavelength of IR region ranges from ~780 nm – 250000 nm. Writing such big number is avoided by expressing the wavelengths in micrometers (0.78 – 250</w:t>
                    </w:r>
                    <w:r>
                      <w:rPr>
                        <w:spacing w:val="-1"/>
                        <w:sz w:val="24"/>
                      </w:rPr>
                      <w:t> </w:t>
                    </w:r>
                    <w:r>
                      <w:rPr>
                        <w:sz w:val="24"/>
                      </w:rPr>
                      <w:t>μm).</w:t>
                    </w:r>
                  </w:p>
                  <w:p>
                    <w:pPr>
                      <w:spacing w:line="278" w:lineRule="auto" w:before="201"/>
                      <w:ind w:left="0" w:right="21" w:firstLine="0"/>
                      <w:jc w:val="both"/>
                      <w:rPr>
                        <w:sz w:val="24"/>
                        <w:szCs w:val="24"/>
                      </w:rPr>
                    </w:pPr>
                    <w:r>
                      <w:rPr>
                        <w:b/>
                        <w:bCs/>
                        <w:sz w:val="24"/>
                        <w:szCs w:val="24"/>
                      </w:rPr>
                      <w:t>Wav</w:t>
                    </w:r>
                    <w:r>
                      <w:rPr>
                        <w:b/>
                        <w:bCs/>
                        <w:spacing w:val="-1"/>
                        <w:sz w:val="24"/>
                        <w:szCs w:val="24"/>
                      </w:rPr>
                      <w:t>e</w:t>
                    </w:r>
                    <w:r>
                      <w:rPr>
                        <w:b/>
                        <w:bCs/>
                        <w:w w:val="99"/>
                        <w:sz w:val="24"/>
                        <w:szCs w:val="24"/>
                      </w:rPr>
                      <w:t>nu</w:t>
                    </w:r>
                    <w:r>
                      <w:rPr>
                        <w:b/>
                        <w:bCs/>
                        <w:spacing w:val="-4"/>
                        <w:w w:val="99"/>
                        <w:sz w:val="24"/>
                        <w:szCs w:val="24"/>
                      </w:rPr>
                      <w:t>m</w:t>
                    </w:r>
                    <w:r>
                      <w:rPr>
                        <w:b/>
                        <w:bCs/>
                        <w:w w:val="99"/>
                        <w:sz w:val="24"/>
                        <w:szCs w:val="24"/>
                      </w:rPr>
                      <w:t>b</w:t>
                    </w:r>
                    <w:r>
                      <w:rPr>
                        <w:b/>
                        <w:bCs/>
                        <w:spacing w:val="-1"/>
                        <w:sz w:val="24"/>
                        <w:szCs w:val="24"/>
                      </w:rPr>
                      <w:t>e</w:t>
                    </w:r>
                    <w:r>
                      <w:rPr>
                        <w:b/>
                        <w:bCs/>
                        <w:sz w:val="24"/>
                        <w:szCs w:val="24"/>
                      </w:rPr>
                      <w:t>r </w:t>
                    </w:r>
                    <w:r>
                      <w:rPr>
                        <w:b/>
                        <w:bCs/>
                        <w:spacing w:val="1"/>
                        <w:sz w:val="24"/>
                        <w:szCs w:val="24"/>
                      </w:rPr>
                      <w:t>(</w:t>
                    </w:r>
                    <w:r>
                      <w:rPr>
                        <w:rFonts w:ascii="Symbola" w:hAnsi="Symbola" w:cs="Symbola" w:eastAsia="Symbola"/>
                        <w:spacing w:val="-120"/>
                        <w:w w:val="100"/>
                        <w:sz w:val="24"/>
                        <w:szCs w:val="24"/>
                      </w:rPr>
                      <w:t>𝝂</w:t>
                    </w:r>
                    <w:r>
                      <w:rPr>
                        <w:rFonts w:ascii="Symbola" w:hAnsi="Symbola" w:cs="Symbola" w:eastAsia="Symbola"/>
                        <w:spacing w:val="16"/>
                        <w:w w:val="43"/>
                        <w:sz w:val="24"/>
                        <w:szCs w:val="24"/>
                      </w:rPr>
                      <w:t>�</w:t>
                    </w:r>
                    <w:r>
                      <w:rPr>
                        <w:b/>
                        <w:bCs/>
                        <w:spacing w:val="-1"/>
                        <w:w w:val="99"/>
                        <w:sz w:val="24"/>
                        <w:szCs w:val="24"/>
                      </w:rPr>
                      <w:t>)</w:t>
                    </w:r>
                    <w:r>
                      <w:rPr>
                        <w:b/>
                        <w:bCs/>
                        <w:w w:val="99"/>
                        <w:sz w:val="24"/>
                        <w:szCs w:val="24"/>
                      </w:rPr>
                      <w:t>: </w:t>
                    </w:r>
                    <w:r>
                      <w:rPr>
                        <w:spacing w:val="1"/>
                        <w:w w:val="99"/>
                        <w:sz w:val="24"/>
                        <w:szCs w:val="24"/>
                      </w:rPr>
                      <w:t>W</w:t>
                    </w:r>
                    <w:r>
                      <w:rPr>
                        <w:spacing w:val="-1"/>
                        <w:w w:val="99"/>
                        <w:sz w:val="24"/>
                        <w:szCs w:val="24"/>
                      </w:rPr>
                      <w:t>a</w:t>
                    </w:r>
                    <w:r>
                      <w:rPr>
                        <w:w w:val="99"/>
                        <w:sz w:val="24"/>
                        <w:szCs w:val="24"/>
                      </w:rPr>
                      <w:t>v</w:t>
                    </w:r>
                    <w:r>
                      <w:rPr>
                        <w:spacing w:val="-1"/>
                        <w:w w:val="99"/>
                        <w:sz w:val="24"/>
                        <w:szCs w:val="24"/>
                      </w:rPr>
                      <w:t>e</w:t>
                    </w:r>
                    <w:r>
                      <w:rPr>
                        <w:spacing w:val="2"/>
                        <w:w w:val="99"/>
                        <w:sz w:val="24"/>
                        <w:szCs w:val="24"/>
                      </w:rPr>
                      <w:t>n</w:t>
                    </w:r>
                    <w:r>
                      <w:rPr>
                        <w:w w:val="99"/>
                        <w:sz w:val="24"/>
                        <w:szCs w:val="24"/>
                      </w:rPr>
                      <w:t>umb</w:t>
                    </w:r>
                    <w:r>
                      <w:rPr>
                        <w:spacing w:val="-1"/>
                        <w:w w:val="99"/>
                        <w:sz w:val="24"/>
                        <w:szCs w:val="24"/>
                      </w:rPr>
                      <w:t>e</w:t>
                    </w:r>
                    <w:r>
                      <w:rPr>
                        <w:w w:val="99"/>
                        <w:sz w:val="24"/>
                        <w:szCs w:val="24"/>
                      </w:rPr>
                      <w:t>r m</w:t>
                    </w:r>
                    <w:r>
                      <w:rPr>
                        <w:spacing w:val="-1"/>
                        <w:w w:val="99"/>
                        <w:sz w:val="24"/>
                        <w:szCs w:val="24"/>
                      </w:rPr>
                      <w:t>ea</w:t>
                    </w:r>
                    <w:r>
                      <w:rPr>
                        <w:w w:val="99"/>
                        <w:sz w:val="24"/>
                        <w:szCs w:val="24"/>
                      </w:rPr>
                      <w:t>n</w:t>
                    </w:r>
                    <w:r>
                      <w:rPr>
                        <w:w w:val="99"/>
                        <w:sz w:val="24"/>
                        <w:szCs w:val="24"/>
                      </w:rPr>
                      <w:t>s</w:t>
                    </w:r>
                    <w:r>
                      <w:rPr>
                        <w:sz w:val="24"/>
                        <w:szCs w:val="24"/>
                      </w:rPr>
                      <w:t> the number of wavelengths per unit distance. Therefore, 100 cm</w:t>
                    </w:r>
                    <w:r>
                      <w:rPr>
                        <w:sz w:val="24"/>
                        <w:szCs w:val="24"/>
                        <w:vertAlign w:val="superscript"/>
                      </w:rPr>
                      <w:t>-1</w:t>
                    </w:r>
                    <w:r>
                      <w:rPr>
                        <w:sz w:val="24"/>
                        <w:szCs w:val="24"/>
                        <w:vertAlign w:val="baseline"/>
                      </w:rPr>
                      <w:t> implies there are 100</w:t>
                    </w:r>
                  </w:p>
                  <w:p>
                    <w:pPr>
                      <w:spacing w:before="2"/>
                      <w:ind w:left="0" w:right="0" w:firstLine="0"/>
                      <w:jc w:val="both"/>
                      <w:rPr>
                        <w:sz w:val="24"/>
                      </w:rPr>
                    </w:pPr>
                    <w:r>
                      <w:rPr>
                        <w:sz w:val="24"/>
                      </w:rPr>
                      <w:t>wavelengths per cm. </w:t>
                    </w:r>
                    <w:r>
                      <w:rPr>
                        <w:rFonts w:ascii="Symbola" w:hAnsi="Symbola" w:eastAsia="Symbola"/>
                        <w:sz w:val="24"/>
                      </w:rPr>
                      <w:t>𝜈̅ </w:t>
                    </w:r>
                    <w:r>
                      <w:rPr>
                        <w:sz w:val="24"/>
                      </w:rPr>
                      <w:t>in cm</w:t>
                    </w:r>
                    <w:r>
                      <w:rPr>
                        <w:sz w:val="24"/>
                        <w:vertAlign w:val="superscript"/>
                      </w:rPr>
                      <w:t>-1</w:t>
                    </w:r>
                    <w:r>
                      <w:rPr>
                        <w:sz w:val="24"/>
                        <w:vertAlign w:val="baseline"/>
                      </w:rPr>
                      <w:t> is given by:</w:t>
                    </w:r>
                  </w:p>
                </w:txbxContent>
              </v:textbox>
              <w10:wrap type="none"/>
            </v:shape>
            <v:shape style="position:absolute;left:6415;top:4247;width:1196;height:305" type="#_x0000_t202" filled="false" stroked="false">
              <v:textbox inset="0,0,0,0">
                <w:txbxContent>
                  <w:p>
                    <w:pPr>
                      <w:spacing w:before="52"/>
                      <w:ind w:left="0" w:right="0" w:firstLine="0"/>
                      <w:jc w:val="left"/>
                      <w:rPr>
                        <w:rFonts w:ascii="Symbola" w:hAnsi="Symbola" w:eastAsia="Symbola"/>
                        <w:sz w:val="24"/>
                      </w:rPr>
                    </w:pPr>
                    <w:r>
                      <w:rPr>
                        <w:rFonts w:ascii="Symbola" w:hAnsi="Symbola" w:eastAsia="Symbola"/>
                        <w:w w:val="105"/>
                        <w:sz w:val="24"/>
                      </w:rPr>
                      <w:t>𝜈̅ </w:t>
                    </w:r>
                    <w:r>
                      <w:rPr>
                        <w:rFonts w:ascii="Symbola" w:hAnsi="Symbola" w:eastAsia="Symbola"/>
                        <w:w w:val="105"/>
                        <w:position w:val="1"/>
                        <w:sz w:val="24"/>
                      </w:rPr>
                      <w:t>(</w:t>
                    </w:r>
                    <w:r>
                      <w:rPr>
                        <w:rFonts w:ascii="Symbola" w:hAnsi="Symbola" w:eastAsia="Symbola"/>
                        <w:w w:val="105"/>
                        <w:sz w:val="24"/>
                      </w:rPr>
                      <w:t>𝑐𝑚</w:t>
                    </w:r>
                    <w:r>
                      <w:rPr>
                        <w:rFonts w:ascii="Symbola" w:hAnsi="Symbola" w:eastAsia="Symbola"/>
                        <w:w w:val="105"/>
                        <w:sz w:val="24"/>
                        <w:vertAlign w:val="superscript"/>
                      </w:rPr>
                      <w:t>−1</w:t>
                    </w:r>
                    <w:r>
                      <w:rPr>
                        <w:rFonts w:ascii="Symbola" w:hAnsi="Symbola" w:eastAsia="Symbola"/>
                        <w:w w:val="105"/>
                        <w:position w:val="1"/>
                        <w:sz w:val="24"/>
                        <w:vertAlign w:val="baseline"/>
                      </w:rPr>
                      <w:t>) </w:t>
                    </w:r>
                    <w:r>
                      <w:rPr>
                        <w:rFonts w:ascii="Symbola" w:hAnsi="Symbola" w:eastAsia="Symbola"/>
                        <w:w w:val="105"/>
                        <w:sz w:val="24"/>
                        <w:vertAlign w:val="baseline"/>
                      </w:rPr>
                      <w:t>=</w:t>
                    </w:r>
                  </w:p>
                </w:txbxContent>
              </v:textbox>
              <w10:wrap type="none"/>
            </v:shape>
            <v:shape style="position:absolute;left:7711;top:4087;width:737;height:625" type="#_x0000_t202" filled="false" stroked="false">
              <v:textbox inset="0,0,0,0">
                <w:txbxContent>
                  <w:p>
                    <w:pPr>
                      <w:spacing w:before="40"/>
                      <w:ind w:left="0" w:right="15" w:firstLine="0"/>
                      <w:jc w:val="center"/>
                      <w:rPr>
                        <w:rFonts w:ascii="Symbola"/>
                        <w:sz w:val="24"/>
                      </w:rPr>
                    </w:pPr>
                    <w:r>
                      <w:rPr>
                        <w:rFonts w:ascii="Symbola"/>
                        <w:w w:val="110"/>
                        <w:sz w:val="24"/>
                      </w:rPr>
                      <w:t>1</w:t>
                    </w:r>
                  </w:p>
                  <w:p>
                    <w:pPr>
                      <w:spacing w:before="103"/>
                      <w:ind w:left="0" w:right="18" w:firstLine="0"/>
                      <w:jc w:val="center"/>
                      <w:rPr>
                        <w:rFonts w:ascii="Symbola" w:eastAsia="Symbola"/>
                        <w:sz w:val="24"/>
                      </w:rPr>
                    </w:pPr>
                    <w:r>
                      <w:rPr>
                        <w:rFonts w:ascii="Symbola" w:eastAsia="Symbola"/>
                        <w:w w:val="110"/>
                        <w:sz w:val="24"/>
                      </w:rPr>
                      <w:t>𝜆 (𝜇𝑚)</w:t>
                    </w:r>
                  </w:p>
                </w:txbxContent>
              </v:textbox>
              <w10:wrap type="none"/>
            </v:shape>
            <v:shape style="position:absolute;left:8534;top:4247;width:659;height:305" type="#_x0000_t202" filled="false" stroked="false">
              <v:textbox inset="0,0,0,0">
                <w:txbxContent>
                  <w:p>
                    <w:pPr>
                      <w:spacing w:before="62"/>
                      <w:ind w:left="0" w:right="0" w:firstLine="0"/>
                      <w:jc w:val="left"/>
                      <w:rPr>
                        <w:rFonts w:ascii="Symbola" w:hAnsi="Symbola"/>
                        <w:sz w:val="24"/>
                      </w:rPr>
                    </w:pPr>
                    <w:r>
                      <w:rPr>
                        <w:rFonts w:ascii="Symbola" w:hAnsi="Symbola"/>
                        <w:w w:val="105"/>
                        <w:sz w:val="24"/>
                      </w:rPr>
                      <w:t>× 10</w:t>
                    </w:r>
                    <w:r>
                      <w:rPr>
                        <w:rFonts w:ascii="Symbola" w:hAnsi="Symbola"/>
                        <w:w w:val="105"/>
                        <w:sz w:val="24"/>
                        <w:vertAlign w:val="superscript"/>
                      </w:rPr>
                      <w:t>4</w:t>
                    </w:r>
                  </w:p>
                </w:txbxContent>
              </v:textbox>
              <w10:wrap type="none"/>
            </v:shape>
            <w10:wrap type="none"/>
          </v:group>
        </w:pict>
      </w:r>
      <w:r>
        <w:rPr/>
        <w:t>Infrared (IR) region of the electromagnetic spectrum lies between visible and microwave regions and therefore spans </w:t>
      </w:r>
      <w:r>
        <w:rPr>
          <w:spacing w:val="-4"/>
        </w:rPr>
        <w:t>the </w:t>
      </w:r>
      <w:r>
        <w:rPr/>
        <w:t>wavelengths from 0.78 – 250 </w:t>
      </w:r>
      <w:r>
        <w:rPr>
          <w:spacing w:val="-5"/>
        </w:rPr>
        <w:t>μm. </w:t>
      </w:r>
      <w:r>
        <w:rPr/>
        <w:t>The energies associated with molecular vibrations are smaller than those associated with electronic transitions and fall in the IR region. IR spectroscopy, therefore, is used to probe the vibrations in molecules and</w:t>
      </w:r>
      <w:r>
        <w:rPr>
          <w:spacing w:val="29"/>
        </w:rPr>
        <w:t> </w:t>
      </w:r>
      <w:r>
        <w:rPr/>
        <w:t>is</w:t>
      </w:r>
      <w:r>
        <w:rPr>
          <w:spacing w:val="30"/>
        </w:rPr>
        <w:t> </w:t>
      </w:r>
      <w:r>
        <w:rPr/>
        <w:t>also</w:t>
      </w:r>
      <w:r>
        <w:rPr>
          <w:spacing w:val="29"/>
        </w:rPr>
        <w:t> </w:t>
      </w:r>
      <w:r>
        <w:rPr/>
        <w:t>known</w:t>
      </w:r>
      <w:r>
        <w:rPr>
          <w:spacing w:val="30"/>
        </w:rPr>
        <w:t> </w:t>
      </w:r>
      <w:r>
        <w:rPr/>
        <w:t>as</w:t>
      </w:r>
      <w:r>
        <w:rPr>
          <w:spacing w:val="30"/>
        </w:rPr>
        <w:t> </w:t>
      </w:r>
      <w:r>
        <w:rPr/>
        <w:t>vibrational</w:t>
      </w:r>
    </w:p>
    <w:p>
      <w:pPr>
        <w:pStyle w:val="BodyText"/>
        <w:spacing w:line="362" w:lineRule="auto" w:before="1"/>
        <w:ind w:left="299" w:right="315"/>
        <w:jc w:val="both"/>
      </w:pPr>
      <w:r>
        <w:rPr/>
        <w:drawing>
          <wp:anchor distT="0" distB="0" distL="0" distR="0" allowOverlap="1" layoutInCell="1" locked="0" behindDoc="0" simplePos="0" relativeHeight="114">
            <wp:simplePos x="0" y="0"/>
            <wp:positionH relativeFrom="page">
              <wp:posOffset>1557396</wp:posOffset>
            </wp:positionH>
            <wp:positionV relativeFrom="paragraph">
              <wp:posOffset>1342466</wp:posOffset>
            </wp:positionV>
            <wp:extent cx="4586261" cy="2987040"/>
            <wp:effectExtent l="0" t="0" r="0" b="0"/>
            <wp:wrapTopAndBottom/>
            <wp:docPr id="107" name="image57.png" descr="Figure 10.1.tif"/>
            <wp:cNvGraphicFramePr>
              <a:graphicFrameLocks noChangeAspect="1"/>
            </wp:cNvGraphicFramePr>
            <a:graphic>
              <a:graphicData uri="http://schemas.openxmlformats.org/drawingml/2006/picture">
                <pic:pic>
                  <pic:nvPicPr>
                    <pic:cNvPr id="108" name="image57.png"/>
                    <pic:cNvPicPr/>
                  </pic:nvPicPr>
                  <pic:blipFill>
                    <a:blip r:embed="rId65" cstate="print"/>
                    <a:stretch>
                      <a:fillRect/>
                    </a:stretch>
                  </pic:blipFill>
                  <pic:spPr>
                    <a:xfrm>
                      <a:off x="0" y="0"/>
                      <a:ext cx="4586261" cy="2987040"/>
                    </a:xfrm>
                    <a:prstGeom prst="rect">
                      <a:avLst/>
                    </a:prstGeom>
                  </pic:spPr>
                </pic:pic>
              </a:graphicData>
            </a:graphic>
          </wp:anchor>
        </w:drawing>
      </w:r>
      <w:r>
        <w:rPr/>
        <w:t>spectroscopy. Infrared region is usually divided into three regions: near infrared, mid- infrared, and far infrared (Figure 10.1). </w:t>
      </w:r>
      <w:r>
        <w:rPr>
          <w:spacing w:val="-3"/>
        </w:rPr>
        <w:t>IR </w:t>
      </w:r>
      <w:r>
        <w:rPr/>
        <w:t>spectroscopists use wavenumbers (</w:t>
      </w:r>
      <w:r>
        <w:rPr>
          <w:rFonts w:ascii="Symbola" w:hAnsi="Symbola" w:eastAsia="Symbola"/>
        </w:rPr>
        <w:t>𝜈̅</w:t>
      </w:r>
      <w:r>
        <w:rPr/>
        <w:t>) to represent the </w:t>
      </w:r>
      <w:r>
        <w:rPr>
          <w:spacing w:val="-3"/>
        </w:rPr>
        <w:t>IR </w:t>
      </w:r>
      <w:r>
        <w:rPr/>
        <w:t>spectra and we shall be following the same convention. Mid-IR region (</w:t>
      </w:r>
      <w:r>
        <w:rPr>
          <w:rFonts w:ascii="Symbola" w:hAnsi="Symbola" w:eastAsia="Symbola"/>
          <w:sz w:val="25"/>
        </w:rPr>
        <w:t>λ </w:t>
      </w:r>
      <w:r>
        <w:rPr/>
        <w:t>= 2.5 -25 </w:t>
      </w:r>
      <w:r>
        <w:rPr>
          <w:rFonts w:ascii="Symbola" w:hAnsi="Symbola" w:eastAsia="Symbola"/>
        </w:rPr>
        <w:t>μ</w:t>
      </w:r>
      <w:r>
        <w:rPr/>
        <w:t>m; </w:t>
      </w:r>
      <w:r>
        <w:rPr>
          <w:rFonts w:ascii="Symbola" w:hAnsi="Symbola" w:eastAsia="Symbola"/>
          <w:spacing w:val="-3"/>
        </w:rPr>
        <w:t>𝜈̅ </w:t>
      </w:r>
      <w:r>
        <w:rPr/>
        <w:t>= 4000 – 400 cm</w:t>
      </w:r>
      <w:r>
        <w:rPr>
          <w:vertAlign w:val="superscript"/>
        </w:rPr>
        <w:t>-1</w:t>
      </w:r>
      <w:r>
        <w:rPr>
          <w:vertAlign w:val="baseline"/>
        </w:rPr>
        <w:t>) is the region of interest for studying molecular</w:t>
      </w:r>
      <w:r>
        <w:rPr>
          <w:spacing w:val="-2"/>
          <w:vertAlign w:val="baseline"/>
        </w:rPr>
        <w:t> </w:t>
      </w:r>
      <w:r>
        <w:rPr>
          <w:vertAlign w:val="baseline"/>
        </w:rPr>
        <w:t>vibrations.</w:t>
      </w:r>
    </w:p>
    <w:p>
      <w:pPr>
        <w:pStyle w:val="BodyText"/>
        <w:spacing w:before="9"/>
        <w:rPr>
          <w:sz w:val="31"/>
        </w:rPr>
      </w:pPr>
    </w:p>
    <w:p>
      <w:pPr>
        <w:spacing w:before="0"/>
        <w:ind w:left="795" w:right="617" w:firstLine="0"/>
        <w:jc w:val="center"/>
        <w:rPr>
          <w:b/>
          <w:sz w:val="16"/>
        </w:rPr>
      </w:pPr>
      <w:r>
        <w:rPr>
          <w:b/>
          <w:sz w:val="16"/>
        </w:rPr>
        <w:t>Figure 10.1 Infrared region of the electromagnetic spectrum</w:t>
      </w:r>
    </w:p>
    <w:p>
      <w:pPr>
        <w:spacing w:after="0"/>
        <w:jc w:val="center"/>
        <w:rPr>
          <w:sz w:val="16"/>
        </w:rPr>
        <w:sectPr>
          <w:pgSz w:w="11910" w:h="16840"/>
          <w:pgMar w:header="722" w:footer="748" w:top="1300" w:bottom="940" w:left="1500" w:right="1480"/>
        </w:sectPr>
      </w:pPr>
    </w:p>
    <w:p>
      <w:pPr>
        <w:pStyle w:val="Heading4"/>
        <w:spacing w:before="124"/>
      </w:pPr>
      <w:r>
        <w:rPr/>
        <w:t>Degrees of freedom and molecular vibrations</w:t>
      </w:r>
    </w:p>
    <w:p>
      <w:pPr>
        <w:pStyle w:val="BodyText"/>
        <w:spacing w:line="360" w:lineRule="auto" w:before="132"/>
        <w:ind w:left="300" w:right="317"/>
        <w:jc w:val="both"/>
      </w:pPr>
      <w:r>
        <w:rPr/>
        <w:t>At non-zero temperatures, </w:t>
      </w:r>
      <w:r>
        <w:rPr>
          <w:i/>
        </w:rPr>
        <w:t>i.e. </w:t>
      </w:r>
      <w:r>
        <w:rPr/>
        <w:t>temperatures above 0 K, all the atoms in a molecule are in motion. The molecule itself also is in translational and rotation motion. </w:t>
      </w:r>
      <w:r>
        <w:rPr>
          <w:spacing w:val="-3"/>
        </w:rPr>
        <w:t>In </w:t>
      </w:r>
      <w:r>
        <w:rPr/>
        <w:t>a three dimensional space, an atom in isolation has 3 degrees of freedom, corresponding to the motion along the three independent coordinate axes. </w:t>
      </w:r>
      <w:r>
        <w:rPr>
          <w:i/>
        </w:rPr>
        <w:t>A molecule composed of N </w:t>
      </w:r>
      <w:r>
        <w:rPr>
          <w:i/>
        </w:rPr>
        <w:t>atoms has a total of 3N degrees of freedom </w:t>
      </w:r>
      <w:r>
        <w:rPr/>
        <w:t>(Figure</w:t>
      </w:r>
      <w:r>
        <w:rPr>
          <w:spacing w:val="-4"/>
        </w:rPr>
        <w:t> </w:t>
      </w:r>
      <w:r>
        <w:rPr/>
        <w:t>10.2).</w:t>
      </w:r>
    </w:p>
    <w:p>
      <w:pPr>
        <w:pStyle w:val="BodyText"/>
        <w:rPr>
          <w:sz w:val="20"/>
        </w:rPr>
      </w:pPr>
    </w:p>
    <w:p>
      <w:pPr>
        <w:pStyle w:val="BodyText"/>
        <w:spacing w:before="10"/>
        <w:rPr>
          <w:sz w:val="15"/>
        </w:rPr>
      </w:pPr>
      <w:r>
        <w:rPr/>
        <w:drawing>
          <wp:anchor distT="0" distB="0" distL="0" distR="0" allowOverlap="1" layoutInCell="1" locked="0" behindDoc="0" simplePos="0" relativeHeight="120">
            <wp:simplePos x="0" y="0"/>
            <wp:positionH relativeFrom="page">
              <wp:posOffset>1358769</wp:posOffset>
            </wp:positionH>
            <wp:positionV relativeFrom="paragraph">
              <wp:posOffset>141173</wp:posOffset>
            </wp:positionV>
            <wp:extent cx="5014332" cy="2389631"/>
            <wp:effectExtent l="0" t="0" r="0" b="0"/>
            <wp:wrapTopAndBottom/>
            <wp:docPr id="109" name="image58.png" descr="Figure 10.2.tif"/>
            <wp:cNvGraphicFramePr>
              <a:graphicFrameLocks noChangeAspect="1"/>
            </wp:cNvGraphicFramePr>
            <a:graphic>
              <a:graphicData uri="http://schemas.openxmlformats.org/drawingml/2006/picture">
                <pic:pic>
                  <pic:nvPicPr>
                    <pic:cNvPr id="110" name="image58.png"/>
                    <pic:cNvPicPr/>
                  </pic:nvPicPr>
                  <pic:blipFill>
                    <a:blip r:embed="rId66" cstate="print"/>
                    <a:stretch>
                      <a:fillRect/>
                    </a:stretch>
                  </pic:blipFill>
                  <pic:spPr>
                    <a:xfrm>
                      <a:off x="0" y="0"/>
                      <a:ext cx="5014332" cy="2389631"/>
                    </a:xfrm>
                    <a:prstGeom prst="rect">
                      <a:avLst/>
                    </a:prstGeom>
                  </pic:spPr>
                </pic:pic>
              </a:graphicData>
            </a:graphic>
          </wp:anchor>
        </w:drawing>
      </w:r>
    </w:p>
    <w:p>
      <w:pPr>
        <w:pStyle w:val="BodyText"/>
        <w:spacing w:before="4"/>
        <w:rPr>
          <w:sz w:val="27"/>
        </w:rPr>
      </w:pPr>
    </w:p>
    <w:p>
      <w:pPr>
        <w:spacing w:before="0"/>
        <w:ind w:left="794" w:right="617" w:firstLine="0"/>
        <w:jc w:val="center"/>
        <w:rPr>
          <w:b/>
          <w:sz w:val="16"/>
        </w:rPr>
      </w:pPr>
      <w:r>
        <w:rPr>
          <w:b/>
          <w:sz w:val="16"/>
        </w:rPr>
        <w:t>Figure 10.2 Degrees of rotational freedom for a diatomic (A) and a triatomic (B) molecule</w:t>
      </w:r>
    </w:p>
    <w:p>
      <w:pPr>
        <w:pStyle w:val="BodyText"/>
        <w:spacing w:before="1"/>
        <w:rPr>
          <w:b/>
          <w:sz w:val="25"/>
        </w:rPr>
      </w:pPr>
    </w:p>
    <w:p>
      <w:pPr>
        <w:pStyle w:val="BodyText"/>
        <w:spacing w:line="360" w:lineRule="auto"/>
        <w:ind w:left="300" w:right="316"/>
        <w:jc w:val="both"/>
      </w:pPr>
      <w:r>
        <w:rPr/>
        <w:t>For a non-linear molecule, three of these 3</w:t>
      </w:r>
      <w:r>
        <w:rPr>
          <w:i/>
        </w:rPr>
        <w:t>N </w:t>
      </w:r>
      <w:r>
        <w:rPr/>
        <w:t>degrees of freedom correspond to translational motion, three correspond to rotational motion while rest 3N-6 are the vibrational degrees of freedom. For a linear molecule, there are only two rotational degrees of freedom that correspond to the rotation about the two orthogonal axes perpendicular to the bond (Figure 10.2). A linear molecule, therefore, has 3</w:t>
      </w:r>
      <w:r>
        <w:rPr>
          <w:i/>
        </w:rPr>
        <w:t>N</w:t>
      </w:r>
      <w:r>
        <w:rPr/>
        <w:t>-5 vibrational degrees of freedom. Let us have a look at the degrees of freedom of a diatomic molecule. A diatomic molecule has a total of 3 × 2 = 6 degrees of freedom. </w:t>
      </w:r>
      <w:r>
        <w:rPr>
          <w:i/>
        </w:rPr>
        <w:t>Three </w:t>
      </w:r>
      <w:r>
        <w:rPr/>
        <w:t>of these </w:t>
      </w:r>
      <w:r>
        <w:rPr>
          <w:i/>
        </w:rPr>
        <w:t>six </w:t>
      </w:r>
      <w:r>
        <w:rPr/>
        <w:t>degrees of freedom correspond to translational motion of the molecule; </w:t>
      </w:r>
      <w:r>
        <w:rPr>
          <w:i/>
        </w:rPr>
        <w:t>two </w:t>
      </w:r>
      <w:r>
        <w:rPr/>
        <w:t>of them define rotational degrees of freedom; while </w:t>
      </w:r>
      <w:r>
        <w:rPr>
          <w:i/>
        </w:rPr>
        <w:t>one </w:t>
      </w:r>
      <w:r>
        <w:rPr/>
        <w:t>corresponds to the vibration of the atoms along the bond. The 3N-6 vibrational degrees of freedom (3N-5 for linear molecules) represent the true/fundamental modes of vibration of a molecule. The different types of vibrations are shown in Figure 10.3.</w:t>
      </w:r>
    </w:p>
    <w:p>
      <w:pPr>
        <w:spacing w:after="0" w:line="360" w:lineRule="auto"/>
        <w:jc w:val="both"/>
        <w:sectPr>
          <w:pgSz w:w="11910" w:h="16840"/>
          <w:pgMar w:header="722" w:footer="748" w:top="1300" w:bottom="940" w:left="1500" w:right="1480"/>
        </w:sectPr>
      </w:pPr>
    </w:p>
    <w:p>
      <w:pPr>
        <w:pStyle w:val="BodyText"/>
        <w:spacing w:before="7"/>
        <w:rPr>
          <w:sz w:val="13"/>
        </w:rPr>
      </w:pPr>
    </w:p>
    <w:p>
      <w:pPr>
        <w:pStyle w:val="BodyText"/>
        <w:ind w:left="558"/>
        <w:rPr>
          <w:sz w:val="20"/>
        </w:rPr>
      </w:pPr>
      <w:r>
        <w:rPr>
          <w:sz w:val="20"/>
        </w:rPr>
        <w:drawing>
          <wp:inline distT="0" distB="0" distL="0" distR="0">
            <wp:extent cx="5085578" cy="3438144"/>
            <wp:effectExtent l="0" t="0" r="0" b="0"/>
            <wp:docPr id="111" name="image59.jpeg" descr="Figure 10.3.tif"/>
            <wp:cNvGraphicFramePr>
              <a:graphicFrameLocks noChangeAspect="1"/>
            </wp:cNvGraphicFramePr>
            <a:graphic>
              <a:graphicData uri="http://schemas.openxmlformats.org/drawingml/2006/picture">
                <pic:pic>
                  <pic:nvPicPr>
                    <pic:cNvPr id="112" name="image59.jpeg"/>
                    <pic:cNvPicPr/>
                  </pic:nvPicPr>
                  <pic:blipFill>
                    <a:blip r:embed="rId67" cstate="print"/>
                    <a:stretch>
                      <a:fillRect/>
                    </a:stretch>
                  </pic:blipFill>
                  <pic:spPr>
                    <a:xfrm>
                      <a:off x="0" y="0"/>
                      <a:ext cx="5085578" cy="3438144"/>
                    </a:xfrm>
                    <a:prstGeom prst="rect">
                      <a:avLst/>
                    </a:prstGeom>
                  </pic:spPr>
                </pic:pic>
              </a:graphicData>
            </a:graphic>
          </wp:inline>
        </w:drawing>
      </w:r>
      <w:r>
        <w:rPr>
          <w:sz w:val="20"/>
        </w:rPr>
      </w:r>
    </w:p>
    <w:p>
      <w:pPr>
        <w:pStyle w:val="BodyText"/>
        <w:spacing w:before="2"/>
        <w:rPr>
          <w:sz w:val="22"/>
        </w:rPr>
      </w:pPr>
    </w:p>
    <w:p>
      <w:pPr>
        <w:spacing w:before="94"/>
        <w:ind w:left="793" w:right="617" w:firstLine="0"/>
        <w:jc w:val="center"/>
        <w:rPr>
          <w:b/>
          <w:sz w:val="16"/>
        </w:rPr>
      </w:pPr>
      <w:r>
        <w:rPr>
          <w:b/>
          <w:sz w:val="16"/>
        </w:rPr>
        <w:t>Figure 10.3 Stretching and bending vibrations in molecules</w:t>
      </w:r>
    </w:p>
    <w:p>
      <w:pPr>
        <w:pStyle w:val="BodyText"/>
        <w:spacing w:before="3"/>
        <w:rPr>
          <w:b/>
          <w:sz w:val="25"/>
        </w:rPr>
      </w:pPr>
    </w:p>
    <w:p>
      <w:pPr>
        <w:pStyle w:val="Heading4"/>
      </w:pPr>
      <w:r>
        <w:rPr/>
        <w:t>Hooke’s law and frequency of vibration</w:t>
      </w:r>
    </w:p>
    <w:p>
      <w:pPr>
        <w:pStyle w:val="BodyText"/>
        <w:spacing w:line="360" w:lineRule="auto" w:before="135"/>
        <w:ind w:left="300" w:right="316"/>
        <w:jc w:val="both"/>
      </w:pPr>
      <w:r>
        <w:rPr/>
        <w:drawing>
          <wp:anchor distT="0" distB="0" distL="0" distR="0" allowOverlap="1" layoutInCell="1" locked="0" behindDoc="0" simplePos="0" relativeHeight="121">
            <wp:simplePos x="0" y="0"/>
            <wp:positionH relativeFrom="page">
              <wp:posOffset>1325473</wp:posOffset>
            </wp:positionH>
            <wp:positionV relativeFrom="paragraph">
              <wp:posOffset>909570</wp:posOffset>
            </wp:positionV>
            <wp:extent cx="5016553" cy="366045"/>
            <wp:effectExtent l="0" t="0" r="0" b="0"/>
            <wp:wrapTopAndBottom/>
            <wp:docPr id="113" name="image60.png" descr="Springs.tif"/>
            <wp:cNvGraphicFramePr>
              <a:graphicFrameLocks noChangeAspect="1"/>
            </wp:cNvGraphicFramePr>
            <a:graphic>
              <a:graphicData uri="http://schemas.openxmlformats.org/drawingml/2006/picture">
                <pic:pic>
                  <pic:nvPicPr>
                    <pic:cNvPr id="114" name="image60.png"/>
                    <pic:cNvPicPr/>
                  </pic:nvPicPr>
                  <pic:blipFill>
                    <a:blip r:embed="rId68" cstate="print"/>
                    <a:stretch>
                      <a:fillRect/>
                    </a:stretch>
                  </pic:blipFill>
                  <pic:spPr>
                    <a:xfrm>
                      <a:off x="0" y="0"/>
                      <a:ext cx="5016553" cy="366045"/>
                    </a:xfrm>
                    <a:prstGeom prst="rect">
                      <a:avLst/>
                    </a:prstGeom>
                  </pic:spPr>
                </pic:pic>
              </a:graphicData>
            </a:graphic>
          </wp:anchor>
        </w:drawing>
      </w:r>
      <w:r>
        <w:rPr/>
        <w:t>We have seen that the bonds are not static but vibrating in different ways. A vibrating bond can therefore be considered a spring with its ends tethered to two atoms (Figure 10.4).</w:t>
      </w:r>
    </w:p>
    <w:p>
      <w:pPr>
        <w:pStyle w:val="BodyText"/>
        <w:spacing w:before="6"/>
        <w:rPr>
          <w:sz w:val="30"/>
        </w:rPr>
      </w:pPr>
    </w:p>
    <w:p>
      <w:pPr>
        <w:spacing w:before="0"/>
        <w:ind w:left="794" w:right="617" w:firstLine="0"/>
        <w:jc w:val="center"/>
        <w:rPr>
          <w:b/>
          <w:sz w:val="16"/>
        </w:rPr>
      </w:pPr>
      <w:r>
        <w:rPr>
          <w:b/>
          <w:sz w:val="16"/>
        </w:rPr>
        <w:t>Figure 10.4 Spring analogy of a bond vibration</w:t>
      </w:r>
    </w:p>
    <w:p>
      <w:pPr>
        <w:pStyle w:val="BodyText"/>
        <w:spacing w:before="1"/>
        <w:rPr>
          <w:b/>
          <w:sz w:val="25"/>
        </w:rPr>
      </w:pPr>
    </w:p>
    <w:p>
      <w:pPr>
        <w:pStyle w:val="BodyText"/>
        <w:spacing w:line="360" w:lineRule="auto"/>
        <w:ind w:left="300" w:right="315"/>
        <w:jc w:val="both"/>
      </w:pPr>
      <w:r>
        <w:rPr/>
        <w:t>If the masses of the atoms are </w:t>
      </w:r>
      <w:r>
        <w:rPr>
          <w:i/>
        </w:rPr>
        <w:t>m</w:t>
      </w:r>
      <w:r>
        <w:rPr>
          <w:i/>
          <w:vertAlign w:val="subscript"/>
        </w:rPr>
        <w:t>1</w:t>
      </w:r>
      <w:r>
        <w:rPr>
          <w:i/>
          <w:vertAlign w:val="baseline"/>
        </w:rPr>
        <w:t> </w:t>
      </w:r>
      <w:r>
        <w:rPr>
          <w:vertAlign w:val="baseline"/>
        </w:rPr>
        <w:t>and </w:t>
      </w:r>
      <w:r>
        <w:rPr>
          <w:i/>
          <w:vertAlign w:val="baseline"/>
        </w:rPr>
        <w:t>m</w:t>
      </w:r>
      <w:r>
        <w:rPr>
          <w:i/>
          <w:vertAlign w:val="subscript"/>
        </w:rPr>
        <w:t>2</w:t>
      </w:r>
      <w:r>
        <w:rPr>
          <w:vertAlign w:val="baseline"/>
        </w:rPr>
        <w:t>, the frequency of stretching vibration of the diatomic molecule can be given by the Hooke’s law:</w:t>
      </w:r>
    </w:p>
    <w:p>
      <w:pPr>
        <w:spacing w:after="0" w:line="360" w:lineRule="auto"/>
        <w:jc w:val="both"/>
        <w:sectPr>
          <w:pgSz w:w="11910" w:h="16840"/>
          <w:pgMar w:header="722" w:footer="748" w:top="1300" w:bottom="940" w:left="1500" w:right="1480"/>
        </w:sectPr>
      </w:pPr>
    </w:p>
    <w:p>
      <w:pPr>
        <w:pStyle w:val="BodyText"/>
        <w:spacing w:before="3"/>
        <w:rPr>
          <w:sz w:val="5"/>
        </w:rPr>
      </w:pPr>
    </w:p>
    <w:p>
      <w:pPr>
        <w:pStyle w:val="BodyText"/>
        <w:spacing w:line="20" w:lineRule="exact"/>
        <w:ind w:left="2107" w:right="-58"/>
        <w:rPr>
          <w:sz w:val="2"/>
        </w:rPr>
      </w:pPr>
      <w:r>
        <w:rPr>
          <w:sz w:val="2"/>
        </w:rPr>
        <w:pict>
          <v:group style="width:6.75pt;height:1pt;mso-position-horizontal-relative:char;mso-position-vertical-relative:line" coordorigin="0,0" coordsize="135,20">
            <v:rect style="position:absolute;left:0;top:0;width:135;height:20" filled="true" fillcolor="#000000" stroked="false">
              <v:fill type="solid"/>
            </v:rect>
          </v:group>
        </w:pict>
      </w:r>
      <w:r>
        <w:rPr>
          <w:sz w:val="2"/>
        </w:rPr>
      </w:r>
    </w:p>
    <w:p>
      <w:pPr>
        <w:tabs>
          <w:tab w:pos="1663" w:val="left" w:leader="none"/>
          <w:tab w:pos="2109" w:val="left" w:leader="none"/>
        </w:tabs>
        <w:spacing w:line="170" w:lineRule="auto" w:before="63"/>
        <w:ind w:left="1020" w:right="0" w:firstLine="0"/>
        <w:jc w:val="left"/>
        <w:rPr>
          <w:rFonts w:ascii="Symbola" w:eastAsia="Symbola"/>
          <w:sz w:val="20"/>
        </w:rPr>
      </w:pPr>
      <w:r>
        <w:rPr/>
        <w:pict>
          <v:rect style="position:absolute;margin-left:154.800003pt;margin-top:14.113024pt;width:12.6pt;height:.96pt;mso-position-horizontal-relative:page;mso-position-vertical-relative:paragraph;z-index:-18475520" filled="true" fillcolor="#000000" stroked="false">
            <v:fill type="solid"/>
            <w10:wrap type="none"/>
          </v:rect>
        </w:pict>
      </w:r>
      <w:r>
        <w:rPr/>
        <w:pict>
          <v:rect style="position:absolute;margin-left:180.360001pt;margin-top:14.113024pt;width:6.72pt;height:.96pt;mso-position-horizontal-relative:page;mso-position-vertical-relative:paragraph;z-index:-18475008" filled="true" fillcolor="#000000" stroked="false">
            <v:fill type="solid"/>
            <w10:wrap type="none"/>
          </v:rect>
        </w:pict>
      </w:r>
      <w:r>
        <w:rPr/>
        <w:pict>
          <v:shape style="position:absolute;margin-left:169.800003pt;margin-top:5.812282pt;width:10.55pt;height:16.5pt;mso-position-horizontal-relative:page;mso-position-vertical-relative:paragraph;z-index:-18472960" type="#_x0000_t202" filled="false" stroked="false">
            <v:textbox inset="0,0,0,0">
              <w:txbxContent>
                <w:p>
                  <w:pPr>
                    <w:spacing w:before="47"/>
                    <w:ind w:left="0" w:right="0" w:firstLine="0"/>
                    <w:jc w:val="left"/>
                    <w:rPr>
                      <w:rFonts w:ascii="Symbola" w:hAnsi="Symbola" w:cs="Symbola" w:eastAsia="Symbola"/>
                      <w:sz w:val="28"/>
                      <w:szCs w:val="28"/>
                    </w:rPr>
                  </w:pPr>
                  <w:r>
                    <w:rPr>
                      <w:rFonts w:ascii="Symbola" w:hAnsi="Symbola" w:cs="Symbola" w:eastAsia="Symbola"/>
                      <w:w w:val="75"/>
                      <w:sz w:val="28"/>
                      <w:szCs w:val="28"/>
                    </w:rPr>
                    <w:t>�</w:t>
                  </w:r>
                </w:p>
              </w:txbxContent>
            </v:textbox>
            <w10:wrap type="none"/>
          </v:shape>
        </w:pict>
      </w:r>
      <w:r>
        <w:rPr>
          <w:rFonts w:ascii="Symbola" w:eastAsia="Symbola"/>
          <w:w w:val="105"/>
          <w:position w:val="-16"/>
          <w:sz w:val="28"/>
        </w:rPr>
        <w:t>𝜈</w:t>
      </w:r>
      <w:r>
        <w:rPr>
          <w:rFonts w:ascii="Symbola" w:eastAsia="Symbola"/>
          <w:spacing w:val="-2"/>
          <w:w w:val="105"/>
          <w:position w:val="-16"/>
          <w:sz w:val="28"/>
        </w:rPr>
        <w:t> </w:t>
      </w:r>
      <w:r>
        <w:rPr>
          <w:rFonts w:ascii="Symbola" w:eastAsia="Symbola"/>
          <w:w w:val="105"/>
          <w:position w:val="-16"/>
          <w:sz w:val="28"/>
        </w:rPr>
        <w:t>=</w:t>
        <w:tab/>
      </w:r>
      <w:r>
        <w:rPr>
          <w:rFonts w:ascii="Symbola" w:eastAsia="Symbola"/>
          <w:w w:val="105"/>
          <w:sz w:val="20"/>
        </w:rPr>
        <w:t>1</w:t>
        <w:tab/>
      </w:r>
      <w:r>
        <w:rPr>
          <w:rFonts w:ascii="Symbola" w:eastAsia="Symbola"/>
          <w:spacing w:val="-151"/>
          <w:w w:val="105"/>
          <w:sz w:val="20"/>
        </w:rPr>
        <w:t>𝑘</w:t>
      </w:r>
    </w:p>
    <w:p>
      <w:pPr>
        <w:tabs>
          <w:tab w:pos="511" w:val="left" w:leader="none"/>
        </w:tabs>
        <w:spacing w:line="187" w:lineRule="exact" w:before="0"/>
        <w:ind w:left="0" w:right="0" w:firstLine="0"/>
        <w:jc w:val="right"/>
        <w:rPr>
          <w:rFonts w:ascii="Symbola" w:eastAsia="Symbola"/>
          <w:sz w:val="20"/>
        </w:rPr>
      </w:pPr>
      <w:r>
        <w:rPr>
          <w:rFonts w:ascii="Symbola" w:eastAsia="Symbola"/>
          <w:w w:val="115"/>
          <w:sz w:val="20"/>
        </w:rPr>
        <w:t>2𝜋</w:t>
        <w:tab/>
      </w:r>
      <w:r>
        <w:rPr>
          <w:rFonts w:ascii="Symbola" w:eastAsia="Symbola"/>
          <w:w w:val="110"/>
          <w:sz w:val="20"/>
        </w:rPr>
        <w:t>𝜇</w:t>
      </w:r>
    </w:p>
    <w:p>
      <w:pPr>
        <w:pStyle w:val="BodyText"/>
        <w:tabs>
          <w:tab w:pos="4376" w:val="left" w:leader="none"/>
        </w:tabs>
        <w:spacing w:before="228"/>
        <w:ind w:left="66"/>
        <w:jc w:val="center"/>
      </w:pPr>
      <w:r>
        <w:rPr/>
        <w:br w:type="column"/>
      </w:r>
      <w:r>
        <w:rPr>
          <w:spacing w:val="9"/>
        </w:rPr>
        <w:t>·····················································</w:t>
        <w:tab/>
      </w:r>
      <w:r>
        <w:rPr/>
        <w:t>(10.1)</w:t>
      </w:r>
    </w:p>
    <w:p>
      <w:pPr>
        <w:spacing w:after="0"/>
        <w:jc w:val="center"/>
        <w:sectPr>
          <w:type w:val="continuous"/>
          <w:pgSz w:w="11910" w:h="16840"/>
          <w:pgMar w:top="1300" w:bottom="940" w:left="1500" w:right="1480"/>
          <w:cols w:num="2" w:equalWidth="0">
            <w:col w:w="2236" w:space="40"/>
            <w:col w:w="6654"/>
          </w:cols>
        </w:sectPr>
      </w:pPr>
    </w:p>
    <w:p>
      <w:pPr>
        <w:pStyle w:val="BodyText"/>
        <w:spacing w:before="6"/>
        <w:rPr>
          <w:sz w:val="10"/>
        </w:rPr>
      </w:pPr>
    </w:p>
    <w:p>
      <w:pPr>
        <w:pStyle w:val="BodyText"/>
        <w:spacing w:before="90"/>
        <w:ind w:left="1020"/>
      </w:pPr>
      <w:r>
        <w:rPr/>
        <w:t>where, ν is the frequency of vibration, </w:t>
      </w:r>
      <w:r>
        <w:rPr>
          <w:i/>
        </w:rPr>
        <w:t>k </w:t>
      </w:r>
      <w:r>
        <w:rPr/>
        <w:t>is the spring constant, and </w:t>
      </w:r>
      <w:r>
        <w:rPr>
          <w:i/>
        </w:rPr>
        <w:t>μ </w:t>
      </w:r>
      <w:r>
        <w:rPr/>
        <w:t>is the</w:t>
      </w:r>
    </w:p>
    <w:p>
      <w:pPr>
        <w:pStyle w:val="BodyText"/>
        <w:spacing w:line="243" w:lineRule="exact" w:before="175"/>
        <w:ind w:left="1020"/>
        <w:rPr>
          <w:rFonts w:ascii="Symbola" w:eastAsia="Symbola"/>
        </w:rPr>
      </w:pPr>
      <w:r>
        <w:rPr>
          <w:w w:val="110"/>
        </w:rPr>
        <w:t>reduced mass </w:t>
      </w:r>
      <w:r>
        <w:rPr>
          <w:i/>
          <w:w w:val="110"/>
        </w:rPr>
        <w:t>i.e.</w:t>
      </w:r>
      <w:r>
        <w:rPr>
          <w:i/>
          <w:spacing w:val="52"/>
          <w:w w:val="110"/>
          <w:u w:val="single"/>
          <w:vertAlign w:val="baseline"/>
        </w:rPr>
        <w:t> </w:t>
      </w:r>
      <w:r>
        <w:rPr>
          <w:rFonts w:ascii="Symbola" w:eastAsia="Symbola"/>
          <w:w w:val="120"/>
          <w:u w:val="single"/>
          <w:vertAlign w:val="superscript"/>
        </w:rPr>
        <w:t>𝑚1𝑚2</w:t>
      </w:r>
      <w:r>
        <w:rPr>
          <w:rFonts w:ascii="Symbola" w:eastAsia="Symbola"/>
          <w:spacing w:val="-30"/>
          <w:u w:val="single"/>
          <w:vertAlign w:val="baseline"/>
        </w:rPr>
        <w:t> </w:t>
      </w:r>
    </w:p>
    <w:p>
      <w:pPr>
        <w:spacing w:line="180" w:lineRule="auto" w:before="0"/>
        <w:ind w:left="2733" w:right="0" w:firstLine="0"/>
        <w:jc w:val="left"/>
        <w:rPr>
          <w:rFonts w:ascii="Symbola" w:eastAsia="Symbola"/>
          <w:sz w:val="14"/>
        </w:rPr>
      </w:pPr>
      <w:r>
        <w:rPr>
          <w:rFonts w:ascii="Symbola" w:eastAsia="Symbola"/>
          <w:w w:val="135"/>
          <w:sz w:val="17"/>
        </w:rPr>
        <w:t>𝑚</w:t>
      </w:r>
      <w:r>
        <w:rPr>
          <w:rFonts w:ascii="Symbola" w:eastAsia="Symbola"/>
          <w:w w:val="135"/>
          <w:position w:val="-2"/>
          <w:sz w:val="14"/>
        </w:rPr>
        <w:t>1</w:t>
      </w:r>
      <w:r>
        <w:rPr>
          <w:rFonts w:ascii="Symbola" w:eastAsia="Symbola"/>
          <w:w w:val="135"/>
          <w:sz w:val="17"/>
        </w:rPr>
        <w:t>+ 𝑚</w:t>
      </w:r>
      <w:r>
        <w:rPr>
          <w:rFonts w:ascii="Symbola" w:eastAsia="Symbola"/>
          <w:w w:val="135"/>
          <w:position w:val="-2"/>
          <w:sz w:val="14"/>
        </w:rPr>
        <w:t>2</w:t>
      </w:r>
    </w:p>
    <w:p>
      <w:pPr>
        <w:pStyle w:val="BodyText"/>
        <w:spacing w:before="122"/>
        <w:ind w:left="300"/>
      </w:pPr>
      <w:r>
        <w:rPr/>
        <w:t>Dividing equation 10.1 by λ gives:</w:t>
      </w:r>
    </w:p>
    <w:p>
      <w:pPr>
        <w:pStyle w:val="BodyText"/>
        <w:spacing w:before="5"/>
        <w:rPr>
          <w:sz w:val="17"/>
        </w:rPr>
      </w:pPr>
    </w:p>
    <w:p>
      <w:pPr>
        <w:pStyle w:val="BodyText"/>
        <w:spacing w:line="20" w:lineRule="exact"/>
        <w:ind w:left="2193"/>
        <w:rPr>
          <w:sz w:val="2"/>
        </w:rPr>
      </w:pPr>
      <w:r>
        <w:rPr>
          <w:sz w:val="2"/>
        </w:rPr>
        <w:pict>
          <v:group style="width:6.75pt;height:1pt;mso-position-horizontal-relative:char;mso-position-vertical-relative:line" coordorigin="0,0" coordsize="135,20">
            <v:rect style="position:absolute;left:0;top:0;width:135;height:20" filled="true" fillcolor="#000000" stroked="false">
              <v:fill type="solid"/>
            </v:rect>
          </v:group>
        </w:pict>
      </w:r>
      <w:r>
        <w:rPr>
          <w:sz w:val="2"/>
        </w:rPr>
      </w:r>
    </w:p>
    <w:p>
      <w:pPr>
        <w:spacing w:after="0" w:line="20" w:lineRule="exact"/>
        <w:rPr>
          <w:sz w:val="2"/>
        </w:rPr>
        <w:sectPr>
          <w:type w:val="continuous"/>
          <w:pgSz w:w="11910" w:h="16840"/>
          <w:pgMar w:top="1300" w:bottom="940" w:left="1500" w:right="1480"/>
        </w:sectPr>
      </w:pPr>
    </w:p>
    <w:p>
      <w:pPr>
        <w:tabs>
          <w:tab w:pos="1691" w:val="left" w:leader="none"/>
        </w:tabs>
        <w:spacing w:line="117" w:lineRule="auto" w:before="69"/>
        <w:ind w:left="1020" w:right="0" w:firstLine="0"/>
        <w:jc w:val="left"/>
        <w:rPr>
          <w:rFonts w:ascii="Symbola" w:hAnsi="Symbola" w:cs="Symbola" w:eastAsia="Symbola"/>
          <w:sz w:val="20"/>
          <w:szCs w:val="20"/>
        </w:rPr>
      </w:pPr>
      <w:r>
        <w:rPr/>
        <w:pict>
          <v:rect style="position:absolute;margin-left:126pt;margin-top:14.12276pt;width:6pt;height:.96pt;mso-position-horizontal-relative:page;mso-position-vertical-relative:paragraph;z-index:-18474496" filled="true" fillcolor="#000000" stroked="false">
            <v:fill type="solid"/>
            <w10:wrap type="none"/>
          </v:rect>
        </w:pict>
      </w:r>
      <w:r>
        <w:rPr/>
        <w:pict>
          <v:rect style="position:absolute;margin-left:153.360001pt;margin-top:14.12276pt;width:18.36pt;height:.96pt;mso-position-horizontal-relative:page;mso-position-vertical-relative:paragraph;z-index:-18473984" filled="true" fillcolor="#000000" stroked="false">
            <v:fill type="solid"/>
            <w10:wrap type="none"/>
          </v:rect>
        </w:pict>
      </w:r>
      <w:r>
        <w:rPr/>
        <w:pict>
          <v:rect style="position:absolute;margin-left:184.679993pt;margin-top:14.12276pt;width:6.72pt;height:.96pt;mso-position-horizontal-relative:page;mso-position-vertical-relative:paragraph;z-index:-18473472" filled="true" fillcolor="#000000" stroked="false">
            <v:fill type="solid"/>
            <w10:wrap type="none"/>
          </v:rect>
        </w:pict>
      </w:r>
      <w:r>
        <w:rPr>
          <w:rFonts w:ascii="Symbola" w:hAnsi="Symbola" w:cs="Symbola" w:eastAsia="Symbola"/>
          <w:sz w:val="20"/>
          <w:szCs w:val="20"/>
        </w:rPr>
        <w:t>𝜈</w:t>
      </w:r>
      <w:r>
        <w:rPr>
          <w:rFonts w:ascii="Symbola" w:hAnsi="Symbola" w:cs="Symbola" w:eastAsia="Symbola"/>
          <w:spacing w:val="32"/>
          <w:sz w:val="20"/>
          <w:szCs w:val="20"/>
        </w:rPr>
        <w:t> </w:t>
      </w:r>
      <w:r>
        <w:rPr>
          <w:rFonts w:ascii="Symbola" w:hAnsi="Symbola" w:cs="Symbola" w:eastAsia="Symbola"/>
          <w:position w:val="-16"/>
          <w:sz w:val="28"/>
          <w:szCs w:val="28"/>
        </w:rPr>
        <w:t>=</w:t>
        <w:tab/>
      </w:r>
      <w:r>
        <w:rPr>
          <w:rFonts w:ascii="Symbola" w:hAnsi="Symbola" w:cs="Symbola" w:eastAsia="Symbola"/>
          <w:sz w:val="20"/>
          <w:szCs w:val="20"/>
        </w:rPr>
        <w:t>1</w:t>
      </w:r>
      <w:r>
        <w:rPr>
          <w:rFonts w:ascii="Symbola" w:hAnsi="Symbola" w:cs="Symbola" w:eastAsia="Symbola"/>
          <w:spacing w:val="1"/>
          <w:sz w:val="20"/>
          <w:szCs w:val="20"/>
        </w:rPr>
        <w:t> </w:t>
      </w:r>
      <w:r>
        <w:rPr>
          <w:rFonts w:ascii="Symbola" w:hAnsi="Symbola" w:cs="Symbola" w:eastAsia="Symbola"/>
          <w:spacing w:val="-102"/>
          <w:position w:val="-17"/>
          <w:sz w:val="28"/>
          <w:szCs w:val="28"/>
        </w:rPr>
        <w:t>�</w:t>
      </w:r>
      <w:r>
        <w:rPr>
          <w:rFonts w:ascii="Symbola" w:hAnsi="Symbola" w:cs="Symbola" w:eastAsia="Symbola"/>
          <w:spacing w:val="-102"/>
          <w:sz w:val="20"/>
          <w:szCs w:val="20"/>
        </w:rPr>
        <w:t>𝑘</w:t>
      </w:r>
    </w:p>
    <w:p>
      <w:pPr>
        <w:pStyle w:val="BodyText"/>
        <w:tabs>
          <w:tab w:pos="4309" w:val="left" w:leader="none"/>
        </w:tabs>
        <w:spacing w:line="176" w:lineRule="exact" w:before="147"/>
        <w:ind w:right="11"/>
        <w:jc w:val="center"/>
      </w:pPr>
      <w:r>
        <w:rPr/>
        <w:br w:type="column"/>
      </w:r>
      <w:r>
        <w:rPr>
          <w:spacing w:val="9"/>
        </w:rPr>
        <w:t>······················································</w:t>
        <w:tab/>
      </w:r>
      <w:r>
        <w:rPr/>
        <w:t>(10.2)</w:t>
      </w:r>
    </w:p>
    <w:p>
      <w:pPr>
        <w:spacing w:after="0" w:line="176" w:lineRule="exact"/>
        <w:jc w:val="center"/>
        <w:sectPr>
          <w:type w:val="continuous"/>
          <w:pgSz w:w="11910" w:h="16840"/>
          <w:pgMar w:top="1300" w:bottom="940" w:left="1500" w:right="1480"/>
          <w:cols w:num="2" w:equalWidth="0">
            <w:col w:w="2317" w:space="40"/>
            <w:col w:w="6573"/>
          </w:cols>
        </w:sectPr>
      </w:pPr>
    </w:p>
    <w:p>
      <w:pPr>
        <w:tabs>
          <w:tab w:pos="1567" w:val="left" w:leader="none"/>
          <w:tab w:pos="2193" w:val="left" w:leader="none"/>
        </w:tabs>
        <w:spacing w:before="32"/>
        <w:ind w:left="1020" w:right="0" w:firstLine="0"/>
        <w:jc w:val="left"/>
        <w:rPr>
          <w:rFonts w:ascii="Symbola" w:eastAsia="Symbola"/>
          <w:sz w:val="20"/>
        </w:rPr>
      </w:pPr>
      <w:r>
        <w:rPr>
          <w:rFonts w:ascii="Symbola" w:eastAsia="Symbola"/>
          <w:w w:val="110"/>
          <w:sz w:val="20"/>
        </w:rPr>
        <w:t>𝜆</w:t>
        <w:tab/>
        <w:t>2𝜋𝜆</w:t>
        <w:tab/>
        <w:t>𝜇</w:t>
      </w:r>
    </w:p>
    <w:p>
      <w:pPr>
        <w:spacing w:after="0"/>
        <w:jc w:val="left"/>
        <w:rPr>
          <w:rFonts w:ascii="Symbola" w:eastAsia="Symbola"/>
          <w:sz w:val="20"/>
        </w:rPr>
        <w:sectPr>
          <w:type w:val="continuous"/>
          <w:pgSz w:w="11910" w:h="16840"/>
          <w:pgMar w:top="1300" w:bottom="940" w:left="1500" w:right="1480"/>
        </w:sectPr>
      </w:pPr>
    </w:p>
    <w:p>
      <w:pPr>
        <w:pStyle w:val="BodyText"/>
        <w:rPr>
          <w:rFonts w:ascii="Symbola"/>
          <w:sz w:val="18"/>
        </w:rPr>
      </w:pPr>
    </w:p>
    <w:p>
      <w:pPr>
        <w:pStyle w:val="BodyText"/>
        <w:spacing w:line="20" w:lineRule="exact"/>
        <w:ind w:left="2479"/>
        <w:rPr>
          <w:rFonts w:ascii="Symbola"/>
          <w:sz w:val="2"/>
        </w:rPr>
      </w:pPr>
      <w:r>
        <w:rPr>
          <w:rFonts w:ascii="Symbola"/>
          <w:sz w:val="2"/>
        </w:rPr>
        <w:pict>
          <v:group style="width:6.75pt;height:1pt;mso-position-horizontal-relative:char;mso-position-vertical-relative:line" coordorigin="0,0" coordsize="135,20">
            <v:rect style="position:absolute;left:0;top:0;width:135;height:20" filled="true" fillcolor="#000000" stroked="false">
              <v:fill type="solid"/>
            </v:rect>
          </v:group>
        </w:pict>
      </w:r>
      <w:r>
        <w:rPr>
          <w:rFonts w:ascii="Symbola"/>
          <w:sz w:val="2"/>
        </w:rPr>
      </w:r>
    </w:p>
    <w:p>
      <w:pPr>
        <w:spacing w:after="0" w:line="20" w:lineRule="exact"/>
        <w:rPr>
          <w:rFonts w:ascii="Symbola"/>
          <w:sz w:val="2"/>
        </w:rPr>
        <w:sectPr>
          <w:pgSz w:w="11910" w:h="16840"/>
          <w:pgMar w:header="722" w:footer="748" w:top="1300" w:bottom="940" w:left="1500" w:right="1480"/>
        </w:sectPr>
      </w:pPr>
    </w:p>
    <w:p>
      <w:pPr>
        <w:tabs>
          <w:tab w:pos="1835" w:val="left" w:leader="none"/>
          <w:tab w:pos="2267" w:val="left" w:leader="none"/>
        </w:tabs>
        <w:spacing w:line="117" w:lineRule="auto" w:before="69"/>
        <w:ind w:left="1022" w:right="0" w:firstLine="0"/>
        <w:jc w:val="left"/>
        <w:rPr>
          <w:rFonts w:ascii="Symbola" w:hAnsi="Symbola" w:cs="Symbola" w:eastAsia="Symbola"/>
          <w:sz w:val="20"/>
          <w:szCs w:val="20"/>
        </w:rPr>
      </w:pPr>
      <w:r>
        <w:rPr/>
        <w:pict>
          <v:rect style="position:absolute;margin-left:126pt;margin-top:14.122759pt;width:6pt;height:.96pt;mso-position-horizontal-relative:page;mso-position-vertical-relative:paragraph;z-index:-18470912" filled="true" fillcolor="#000000" stroked="false">
            <v:fill type="solid"/>
            <w10:wrap type="none"/>
          </v:rect>
        </w:pict>
      </w:r>
      <w:r>
        <w:rPr/>
        <w:pict>
          <v:rect style="position:absolute;margin-left:153.360001pt;margin-top:14.122759pt;width:32.76pt;height:.96pt;mso-position-horizontal-relative:page;mso-position-vertical-relative:paragraph;z-index:-18470400" filled="true" fillcolor="#000000" stroked="false">
            <v:fill type="solid"/>
            <w10:wrap type="none"/>
          </v:rect>
        </w:pict>
      </w:r>
      <w:r>
        <w:rPr/>
        <w:pict>
          <v:rect style="position:absolute;margin-left:198.960007pt;margin-top:14.122759pt;width:6.719pt;height:.96pt;mso-position-horizontal-relative:page;mso-position-vertical-relative:paragraph;z-index:-18469888" filled="true" fillcolor="#000000" stroked="false">
            <v:fill type="solid"/>
            <w10:wrap type="none"/>
          </v:rect>
        </w:pict>
      </w:r>
      <w:r>
        <w:rPr>
          <w:rFonts w:ascii="Symbola" w:hAnsi="Symbola" w:cs="Symbola" w:eastAsia="Symbola"/>
          <w:w w:val="105"/>
          <w:sz w:val="20"/>
          <w:szCs w:val="20"/>
        </w:rPr>
        <w:t>1</w:t>
      </w:r>
      <w:r>
        <w:rPr>
          <w:rFonts w:ascii="Symbola" w:hAnsi="Symbola" w:cs="Symbola" w:eastAsia="Symbola"/>
          <w:spacing w:val="24"/>
          <w:w w:val="105"/>
          <w:sz w:val="20"/>
          <w:szCs w:val="20"/>
        </w:rPr>
        <w:t> </w:t>
      </w:r>
      <w:r>
        <w:rPr>
          <w:rFonts w:ascii="Symbola" w:hAnsi="Symbola" w:cs="Symbola" w:eastAsia="Symbola"/>
          <w:w w:val="105"/>
          <w:position w:val="-16"/>
          <w:sz w:val="28"/>
          <w:szCs w:val="28"/>
        </w:rPr>
        <w:t>=</w:t>
        <w:tab/>
      </w:r>
      <w:r>
        <w:rPr>
          <w:rFonts w:ascii="Symbola" w:hAnsi="Symbola" w:cs="Symbola" w:eastAsia="Symbola"/>
          <w:w w:val="105"/>
          <w:sz w:val="20"/>
          <w:szCs w:val="20"/>
        </w:rPr>
        <w:t>1</w:t>
        <w:tab/>
      </w:r>
      <w:r>
        <w:rPr>
          <w:rFonts w:ascii="Symbola" w:hAnsi="Symbola" w:cs="Symbola" w:eastAsia="Symbola"/>
          <w:spacing w:val="-107"/>
          <w:w w:val="95"/>
          <w:position w:val="-17"/>
          <w:sz w:val="28"/>
          <w:szCs w:val="28"/>
        </w:rPr>
        <w:t>�</w:t>
      </w:r>
      <w:r>
        <w:rPr>
          <w:rFonts w:ascii="Symbola" w:hAnsi="Symbola" w:cs="Symbola" w:eastAsia="Symbola"/>
          <w:spacing w:val="-107"/>
          <w:w w:val="95"/>
          <w:sz w:val="20"/>
          <w:szCs w:val="20"/>
        </w:rPr>
        <w:t>𝑘</w:t>
      </w:r>
    </w:p>
    <w:p>
      <w:pPr>
        <w:pStyle w:val="BodyText"/>
        <w:tabs>
          <w:tab w:pos="4857" w:val="left" w:leader="none"/>
        </w:tabs>
        <w:spacing w:line="176" w:lineRule="exact" w:before="147"/>
        <w:ind w:left="547"/>
      </w:pPr>
      <w:r>
        <w:rPr/>
        <w:br w:type="column"/>
      </w:r>
      <w:r>
        <w:rPr>
          <w:spacing w:val="9"/>
        </w:rPr>
        <w:t>··················································</w:t>
        <w:tab/>
      </w:r>
      <w:r>
        <w:rPr/>
        <w:t>(10.3)</w:t>
      </w:r>
    </w:p>
    <w:p>
      <w:pPr>
        <w:spacing w:after="0" w:line="176" w:lineRule="exact"/>
        <w:sectPr>
          <w:type w:val="continuous"/>
          <w:pgSz w:w="11910" w:h="16840"/>
          <w:pgMar w:top="1300" w:bottom="940" w:left="1500" w:right="1480"/>
          <w:cols w:num="2" w:equalWidth="0">
            <w:col w:w="2603" w:space="40"/>
            <w:col w:w="6287"/>
          </w:cols>
        </w:sectPr>
      </w:pPr>
    </w:p>
    <w:p>
      <w:pPr>
        <w:tabs>
          <w:tab w:pos="1567" w:val="left" w:leader="none"/>
          <w:tab w:pos="2479" w:val="left" w:leader="none"/>
        </w:tabs>
        <w:spacing w:before="32"/>
        <w:ind w:left="1020" w:right="0" w:firstLine="0"/>
        <w:jc w:val="left"/>
        <w:rPr>
          <w:rFonts w:ascii="Symbola" w:eastAsia="Symbola"/>
          <w:sz w:val="20"/>
        </w:rPr>
      </w:pPr>
      <w:r>
        <w:rPr>
          <w:rFonts w:ascii="Symbola" w:eastAsia="Symbola"/>
          <w:w w:val="115"/>
          <w:sz w:val="20"/>
        </w:rPr>
        <w:t>𝜆</w:t>
        <w:tab/>
        <w:t>2𝜋(𝜆𝜈)</w:t>
        <w:tab/>
        <w:t>𝜇</w:t>
      </w:r>
    </w:p>
    <w:p>
      <w:pPr>
        <w:pStyle w:val="BodyText"/>
        <w:spacing w:before="1"/>
        <w:rPr>
          <w:rFonts w:ascii="Symbola"/>
          <w:sz w:val="27"/>
        </w:rPr>
      </w:pPr>
    </w:p>
    <w:p>
      <w:pPr>
        <w:pStyle w:val="BodyText"/>
        <w:spacing w:line="20" w:lineRule="exact"/>
        <w:ind w:left="2210"/>
        <w:rPr>
          <w:rFonts w:ascii="Symbola"/>
          <w:sz w:val="2"/>
        </w:rPr>
      </w:pPr>
      <w:r>
        <w:rPr>
          <w:rFonts w:ascii="Symbola"/>
          <w:sz w:val="2"/>
        </w:rPr>
        <w:pict>
          <v:group style="width:6.75pt;height:1pt;mso-position-horizontal-relative:char;mso-position-vertical-relative:line" coordorigin="0,0" coordsize="135,20">
            <v:rect style="position:absolute;left:0;top:0;width:135;height:20" filled="true" fillcolor="#000000" stroked="false">
              <v:fill type="solid"/>
            </v:rect>
          </v:group>
        </w:pict>
      </w:r>
      <w:r>
        <w:rPr>
          <w:rFonts w:ascii="Symbola"/>
          <w:sz w:val="2"/>
        </w:rPr>
      </w:r>
    </w:p>
    <w:p>
      <w:pPr>
        <w:spacing w:after="0" w:line="20" w:lineRule="exact"/>
        <w:rPr>
          <w:rFonts w:ascii="Symbola"/>
          <w:sz w:val="2"/>
        </w:rPr>
        <w:sectPr>
          <w:type w:val="continuous"/>
          <w:pgSz w:w="11910" w:h="16840"/>
          <w:pgMar w:top="1300" w:bottom="940" w:left="1500" w:right="1480"/>
        </w:sectPr>
      </w:pPr>
    </w:p>
    <w:p>
      <w:pPr>
        <w:tabs>
          <w:tab w:pos="1715" w:val="left" w:leader="none"/>
          <w:tab w:pos="2212" w:val="left" w:leader="none"/>
        </w:tabs>
        <w:spacing w:line="242" w:lineRule="exact" w:before="151"/>
        <w:ind w:left="1020" w:right="0" w:firstLine="0"/>
        <w:jc w:val="left"/>
        <w:rPr>
          <w:rFonts w:ascii="Symbola" w:hAnsi="Symbola" w:eastAsia="Symbola"/>
          <w:sz w:val="28"/>
        </w:rPr>
      </w:pPr>
      <w:r>
        <w:rPr/>
        <w:pict>
          <v:rect style="position:absolute;margin-left:154.800003pt;margin-top:14.089506pt;width:17.760pt;height:.959pt;mso-position-horizontal-relative:page;mso-position-vertical-relative:paragraph;z-index:-18469376" filled="true" fillcolor="#000000" stroked="false">
            <v:fill type="solid"/>
            <w10:wrap type="none"/>
          </v:rect>
        </w:pict>
      </w:r>
      <w:r>
        <w:rPr/>
        <w:pict>
          <v:rect style="position:absolute;margin-left:185.520004pt;margin-top:14.089506pt;width:6.72pt;height:.959pt;mso-position-horizontal-relative:page;mso-position-vertical-relative:paragraph;z-index:-18468864" filled="true" fillcolor="#000000" stroked="false">
            <v:fill type="solid"/>
            <w10:wrap type="none"/>
          </v:rect>
        </w:pict>
      </w:r>
      <w:r>
        <w:rPr/>
        <w:pict>
          <v:shape style="position:absolute;margin-left:174.960007pt;margin-top:5.787764pt;width:10.55pt;height:16.5pt;mso-position-horizontal-relative:page;mso-position-vertical-relative:paragraph;z-index:-18466304" type="#_x0000_t202" filled="false" stroked="false">
            <v:textbox inset="0,0,0,0">
              <w:txbxContent>
                <w:p>
                  <w:pPr>
                    <w:spacing w:before="47"/>
                    <w:ind w:left="0" w:right="0" w:firstLine="0"/>
                    <w:jc w:val="left"/>
                    <w:rPr>
                      <w:rFonts w:ascii="Symbola" w:hAnsi="Symbola" w:cs="Symbola" w:eastAsia="Symbola"/>
                      <w:sz w:val="28"/>
                      <w:szCs w:val="28"/>
                    </w:rPr>
                  </w:pPr>
                  <w:r>
                    <w:rPr>
                      <w:rFonts w:ascii="Symbola" w:hAnsi="Symbola" w:cs="Symbola" w:eastAsia="Symbola"/>
                      <w:w w:val="75"/>
                      <w:sz w:val="28"/>
                      <w:szCs w:val="28"/>
                    </w:rPr>
                    <w:t>�</w:t>
                  </w:r>
                </w:p>
              </w:txbxContent>
            </v:textbox>
            <w10:wrap type="none"/>
          </v:shape>
        </w:pict>
      </w:r>
      <w:r>
        <w:rPr>
          <w:rFonts w:ascii="Symbola" w:hAnsi="Symbola" w:eastAsia="Symbola"/>
          <w:sz w:val="28"/>
        </w:rPr>
        <w:t>𝜈̅</w:t>
      </w:r>
      <w:r>
        <w:rPr>
          <w:rFonts w:ascii="Symbola" w:hAnsi="Symbola" w:eastAsia="Symbola"/>
          <w:spacing w:val="7"/>
          <w:sz w:val="28"/>
        </w:rPr>
        <w:t> </w:t>
      </w:r>
      <w:r>
        <w:rPr>
          <w:rFonts w:ascii="Symbola" w:hAnsi="Symbola" w:eastAsia="Symbola"/>
          <w:sz w:val="28"/>
        </w:rPr>
        <w:t>=</w:t>
        <w:tab/>
      </w:r>
      <w:r>
        <w:rPr>
          <w:rFonts w:ascii="Symbola" w:hAnsi="Symbola" w:eastAsia="Symbola"/>
          <w:sz w:val="28"/>
          <w:vertAlign w:val="superscript"/>
        </w:rPr>
        <w:t>1</w:t>
      </w:r>
      <w:r>
        <w:rPr>
          <w:rFonts w:ascii="Symbola" w:hAnsi="Symbola" w:eastAsia="Symbola"/>
          <w:sz w:val="28"/>
          <w:vertAlign w:val="baseline"/>
        </w:rPr>
        <w:tab/>
      </w:r>
      <w:r>
        <w:rPr>
          <w:rFonts w:ascii="Symbola" w:hAnsi="Symbola" w:eastAsia="Symbola"/>
          <w:sz w:val="28"/>
          <w:vertAlign w:val="superscript"/>
        </w:rPr>
        <w:t>𝑘</w:t>
      </w:r>
    </w:p>
    <w:p>
      <w:pPr>
        <w:tabs>
          <w:tab w:pos="614" w:val="left" w:leader="none"/>
        </w:tabs>
        <w:spacing w:line="162" w:lineRule="exact" w:before="0"/>
        <w:ind w:left="0" w:right="0" w:firstLine="0"/>
        <w:jc w:val="right"/>
        <w:rPr>
          <w:rFonts w:ascii="Symbola" w:eastAsia="Symbola"/>
          <w:sz w:val="20"/>
        </w:rPr>
      </w:pPr>
      <w:r>
        <w:rPr>
          <w:rFonts w:ascii="Symbola" w:eastAsia="Symbola"/>
          <w:w w:val="110"/>
          <w:sz w:val="20"/>
        </w:rPr>
        <w:t>2𝜋𝑐</w:t>
        <w:tab/>
        <w:t>𝜇</w:t>
      </w:r>
    </w:p>
    <w:p>
      <w:pPr>
        <w:pStyle w:val="BodyText"/>
        <w:tabs>
          <w:tab w:pos="4075" w:val="left" w:leader="none"/>
        </w:tabs>
        <w:spacing w:before="147"/>
        <w:ind w:right="34"/>
        <w:jc w:val="center"/>
      </w:pPr>
      <w:r>
        <w:rPr/>
        <w:br w:type="column"/>
      </w:r>
      <w:r>
        <w:rPr>
          <w:spacing w:val="9"/>
        </w:rPr>
        <w:t>···················································</w:t>
        <w:tab/>
      </w:r>
      <w:r>
        <w:rPr>
          <w:spacing w:val="6"/>
        </w:rPr>
        <w:t>···</w:t>
      </w:r>
      <w:r>
        <w:rPr>
          <w:spacing w:val="-25"/>
        </w:rPr>
        <w:t> </w:t>
      </w:r>
      <w:r>
        <w:rPr/>
        <w:t>(10.4)</w:t>
      </w:r>
    </w:p>
    <w:p>
      <w:pPr>
        <w:spacing w:after="0"/>
        <w:jc w:val="center"/>
        <w:sectPr>
          <w:type w:val="continuous"/>
          <w:pgSz w:w="11910" w:h="16840"/>
          <w:pgMar w:top="1300" w:bottom="940" w:left="1500" w:right="1480"/>
          <w:cols w:num="2" w:equalWidth="0">
            <w:col w:w="2340" w:space="40"/>
            <w:col w:w="6550"/>
          </w:cols>
        </w:sectPr>
      </w:pPr>
    </w:p>
    <w:p>
      <w:pPr>
        <w:pStyle w:val="BodyText"/>
        <w:spacing w:before="8"/>
        <w:rPr>
          <w:sz w:val="10"/>
        </w:rPr>
      </w:pPr>
    </w:p>
    <w:p>
      <w:pPr>
        <w:spacing w:after="0"/>
        <w:rPr>
          <w:sz w:val="10"/>
        </w:rPr>
        <w:sectPr>
          <w:type w:val="continuous"/>
          <w:pgSz w:w="11910" w:h="16840"/>
          <w:pgMar w:top="1300" w:bottom="940" w:left="1500" w:right="1480"/>
        </w:sectPr>
      </w:pPr>
    </w:p>
    <w:p>
      <w:pPr>
        <w:pStyle w:val="BodyText"/>
        <w:tabs>
          <w:tab w:pos="945" w:val="left" w:leader="none"/>
          <w:tab w:pos="1358" w:val="left" w:leader="none"/>
          <w:tab w:pos="1955" w:val="left" w:leader="none"/>
          <w:tab w:pos="2318" w:val="left" w:leader="none"/>
        </w:tabs>
        <w:spacing w:line="360" w:lineRule="auto" w:before="90"/>
        <w:ind w:left="300"/>
      </w:pPr>
      <w:r>
        <w:rPr/>
        <w:t>The spring constant, </w:t>
      </w:r>
      <w:r>
        <w:rPr>
          <w:i/>
        </w:rPr>
        <w:t>k </w:t>
      </w:r>
      <w:r>
        <w:rPr/>
        <w:t>is the measure of the bond strength.</w:t>
        <w:tab/>
        <w:t>The</w:t>
        <w:tab/>
        <w:t>stronger the bond, the  higher  the </w:t>
      </w:r>
      <w:r>
        <w:rPr>
          <w:i/>
        </w:rPr>
        <w:t>k</w:t>
      </w:r>
      <w:r>
        <w:rPr/>
        <w:t>, and consequently the higher  is  the  frequency of</w:t>
        <w:tab/>
        <w:t>vibration.</w:t>
        <w:tab/>
        <w:tab/>
        <w:t>This treatment implies that</w:t>
      </w:r>
      <w:r>
        <w:rPr>
          <w:spacing w:val="20"/>
        </w:rPr>
        <w:t> </w:t>
      </w:r>
      <w:r>
        <w:rPr>
          <w:spacing w:val="-6"/>
        </w:rPr>
        <w:t>the</w:t>
      </w:r>
    </w:p>
    <w:p>
      <w:pPr>
        <w:pStyle w:val="BodyText"/>
        <w:spacing w:before="6"/>
        <w:rPr>
          <w:sz w:val="12"/>
        </w:rPr>
      </w:pPr>
      <w:r>
        <w:rPr/>
        <w:br w:type="column"/>
      </w:r>
      <w:r>
        <w:rPr>
          <w:sz w:val="12"/>
        </w:rPr>
      </w:r>
    </w:p>
    <w:p>
      <w:pPr>
        <w:pStyle w:val="BodyText"/>
        <w:ind w:left="-3"/>
        <w:rPr>
          <w:sz w:val="20"/>
        </w:rPr>
      </w:pPr>
      <w:r>
        <w:rPr>
          <w:position w:val="0"/>
          <w:sz w:val="20"/>
        </w:rPr>
        <w:pict>
          <v:shape style="width:282pt;height:126pt;mso-position-horizontal-relative:char;mso-position-vertical-relative:line" type="#_x0000_t202" filled="true" fillcolor="#ffff00" stroked="true" strokeweight=".75pt" strokecolor="#000000">
            <w10:anchorlock/>
            <v:textbox inset="0,0,0,0">
              <w:txbxContent>
                <w:p>
                  <w:pPr>
                    <w:spacing w:before="72"/>
                    <w:ind w:left="1662" w:right="0" w:firstLine="0"/>
                    <w:jc w:val="left"/>
                    <w:rPr>
                      <w:b/>
                      <w:sz w:val="24"/>
                    </w:rPr>
                  </w:pPr>
                  <w:r>
                    <w:rPr>
                      <w:b/>
                      <w:sz w:val="24"/>
                    </w:rPr>
                    <w:t>Anharmonic oscillator</w:t>
                  </w:r>
                </w:p>
                <w:p>
                  <w:pPr>
                    <w:pStyle w:val="BodyText"/>
                    <w:spacing w:before="5"/>
                    <w:rPr>
                      <w:b/>
                      <w:sz w:val="20"/>
                    </w:rPr>
                  </w:pPr>
                </w:p>
                <w:p>
                  <w:pPr>
                    <w:pStyle w:val="BodyText"/>
                    <w:spacing w:line="276" w:lineRule="auto"/>
                    <w:ind w:left="143" w:right="139"/>
                    <w:jc w:val="both"/>
                  </w:pPr>
                  <w:r>
                    <w:rPr/>
                    <w:t>Real molecules are anharmonic oscillators. Unlike harmonic oscillator wherein energy levels are equally spaced; energy levels in an anharmonic oscillator are more closely spaced at higher interatomic distances. A treatment for anharmonicity is beyond the scope of our discussion.</w:t>
                  </w:r>
                </w:p>
              </w:txbxContent>
            </v:textbox>
            <v:fill type="solid"/>
            <v:stroke dashstyle="solid"/>
          </v:shape>
        </w:pict>
      </w:r>
      <w:r>
        <w:rPr>
          <w:position w:val="0"/>
          <w:sz w:val="20"/>
        </w:rPr>
      </w:r>
    </w:p>
    <w:p>
      <w:pPr>
        <w:pStyle w:val="BodyText"/>
        <w:spacing w:before="8"/>
        <w:rPr>
          <w:sz w:val="23"/>
        </w:rPr>
      </w:pPr>
    </w:p>
    <w:p>
      <w:pPr>
        <w:pStyle w:val="BodyText"/>
        <w:ind w:left="67"/>
      </w:pPr>
      <w:r>
        <w:rPr/>
        <w:t>diatomic molecule is a simple harmonic oscillator. The</w:t>
      </w:r>
    </w:p>
    <w:p>
      <w:pPr>
        <w:spacing w:after="0"/>
        <w:sectPr>
          <w:type w:val="continuous"/>
          <w:pgSz w:w="11910" w:h="16840"/>
          <w:pgMar w:top="1300" w:bottom="940" w:left="1500" w:right="1480"/>
          <w:cols w:num="2" w:equalWidth="0">
            <w:col w:w="2888" w:space="40"/>
            <w:col w:w="6002"/>
          </w:cols>
        </w:sectPr>
      </w:pPr>
    </w:p>
    <w:p>
      <w:pPr>
        <w:pStyle w:val="BodyText"/>
        <w:spacing w:line="274" w:lineRule="exact"/>
        <w:ind w:left="300"/>
        <w:jc w:val="both"/>
      </w:pPr>
      <w:r>
        <w:rPr/>
        <w:t>energy of a quantum harmonic oscillator is given by:</w:t>
      </w:r>
    </w:p>
    <w:p>
      <w:pPr>
        <w:pStyle w:val="BodyText"/>
        <w:tabs>
          <w:tab w:pos="3189" w:val="left" w:leader="none"/>
          <w:tab w:pos="7499" w:val="left" w:leader="none"/>
        </w:tabs>
        <w:spacing w:line="243" w:lineRule="exact" w:before="221"/>
        <w:ind w:left="1020"/>
      </w:pPr>
      <w:r>
        <w:rPr/>
        <w:pict>
          <v:rect style="position:absolute;margin-left:179.520004pt;margin-top:18.412121pt;width:4.919pt;height:.841pt;mso-position-horizontal-relative:page;mso-position-vertical-relative:paragraph;z-index:-18468352" filled="true" fillcolor="#000000" stroked="false">
            <v:fill type="solid"/>
            <w10:wrap type="none"/>
          </v:rect>
        </w:pict>
      </w:r>
      <w:r>
        <w:rPr>
          <w:rFonts w:ascii="Symbola" w:hAnsi="Symbola" w:cs="Symbola" w:eastAsia="Symbola"/>
          <w:w w:val="111"/>
        </w:rPr>
        <w:t>𝐸</w:t>
      </w:r>
      <w:r>
        <w:rPr>
          <w:rFonts w:ascii="Symbola" w:hAnsi="Symbola" w:cs="Symbola" w:eastAsia="Symbola"/>
          <w:spacing w:val="15"/>
        </w:rPr>
        <w:t> </w:t>
      </w:r>
      <w:r>
        <w:rPr>
          <w:rFonts w:ascii="Symbola" w:hAnsi="Symbola" w:cs="Symbola" w:eastAsia="Symbola"/>
          <w:w w:val="96"/>
        </w:rPr>
        <w:t>=</w:t>
      </w:r>
      <w:r>
        <w:rPr>
          <w:rFonts w:ascii="Symbola" w:hAnsi="Symbola" w:cs="Symbola" w:eastAsia="Symbola"/>
          <w:spacing w:val="7"/>
        </w:rPr>
        <w:t> </w:t>
      </w:r>
      <w:r>
        <w:rPr>
          <w:rFonts w:ascii="Symbola" w:hAnsi="Symbola" w:cs="Symbola" w:eastAsia="Symbola"/>
          <w:spacing w:val="-1"/>
          <w:w w:val="49"/>
        </w:rPr>
        <w:t>�</w:t>
      </w:r>
      <w:r>
        <w:rPr>
          <w:rFonts w:ascii="Symbola" w:hAnsi="Symbola" w:cs="Symbola" w:eastAsia="Symbola"/>
          <w:w w:val="101"/>
        </w:rPr>
        <w:t>𝑛</w:t>
      </w:r>
      <w:r>
        <w:rPr>
          <w:rFonts w:ascii="Symbola" w:hAnsi="Symbola" w:cs="Symbola" w:eastAsia="Symbola"/>
          <w:spacing w:val="-4"/>
        </w:rPr>
        <w:t> </w:t>
      </w:r>
      <w:r>
        <w:rPr>
          <w:rFonts w:ascii="Symbola" w:hAnsi="Symbola" w:cs="Symbola" w:eastAsia="Symbola"/>
          <w:w w:val="96"/>
        </w:rPr>
        <w:t>+</w:t>
      </w:r>
      <w:r>
        <w:rPr>
          <w:rFonts w:ascii="Symbola" w:hAnsi="Symbola" w:cs="Symbola" w:eastAsia="Symbola"/>
        </w:rPr>
        <w:t> </w:t>
      </w:r>
      <w:r>
        <w:rPr>
          <w:rFonts w:ascii="Symbola" w:hAnsi="Symbola" w:cs="Symbola" w:eastAsia="Symbola"/>
          <w:spacing w:val="-14"/>
        </w:rPr>
        <w:t> </w:t>
      </w:r>
      <w:r>
        <w:rPr>
          <w:rFonts w:ascii="Symbola" w:hAnsi="Symbola" w:cs="Symbola" w:eastAsia="Symbola"/>
          <w:spacing w:val="-1"/>
          <w:w w:val="103"/>
          <w:vertAlign w:val="superscript"/>
        </w:rPr>
        <w:t>1</w:t>
      </w:r>
      <w:r>
        <w:rPr>
          <w:rFonts w:ascii="Symbola" w:hAnsi="Symbola" w:cs="Symbola" w:eastAsia="Symbola"/>
          <w:w w:val="49"/>
          <w:vertAlign w:val="baseline"/>
        </w:rPr>
        <w:t>�</w:t>
      </w:r>
      <w:r>
        <w:rPr>
          <w:rFonts w:ascii="Symbola" w:hAnsi="Symbola" w:cs="Symbola" w:eastAsia="Symbola"/>
          <w:spacing w:val="-20"/>
          <w:vertAlign w:val="baseline"/>
        </w:rPr>
        <w:t> </w:t>
      </w:r>
      <w:r>
        <w:rPr>
          <w:rFonts w:ascii="Symbola" w:hAnsi="Symbola" w:cs="Symbola" w:eastAsia="Symbola"/>
          <w:spacing w:val="-2"/>
          <w:w w:val="97"/>
          <w:vertAlign w:val="baseline"/>
        </w:rPr>
        <w:t>ℎ</w:t>
      </w:r>
      <w:r>
        <w:rPr>
          <w:rFonts w:ascii="Symbola" w:hAnsi="Symbola" w:cs="Symbola" w:eastAsia="Symbola"/>
          <w:w w:val="90"/>
          <w:vertAlign w:val="baseline"/>
        </w:rPr>
        <w:t>𝜈</w:t>
      </w:r>
      <w:r>
        <w:rPr>
          <w:rFonts w:ascii="Symbola" w:hAnsi="Symbola" w:cs="Symbola" w:eastAsia="Symbola"/>
          <w:vertAlign w:val="baseline"/>
        </w:rPr>
        <w:tab/>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spacing w:val="9"/>
          <w:vertAlign w:val="baseline"/>
        </w:rPr>
        <w:t>··</w:t>
      </w:r>
      <w:r>
        <w:rPr>
          <w:spacing w:val="11"/>
          <w:vertAlign w:val="baseline"/>
        </w:rPr>
        <w:t>·</w:t>
      </w:r>
      <w:r>
        <w:rPr>
          <w:vertAlign w:val="baseline"/>
        </w:rPr>
        <w:t>·</w:t>
        <w:tab/>
      </w:r>
      <w:r>
        <w:rPr>
          <w:spacing w:val="-1"/>
          <w:vertAlign w:val="baseline"/>
        </w:rPr>
        <w:t>(</w:t>
      </w:r>
      <w:r>
        <w:rPr>
          <w:vertAlign w:val="baseline"/>
        </w:rPr>
        <w:t>10.5)</w:t>
      </w:r>
    </w:p>
    <w:p>
      <w:pPr>
        <w:spacing w:line="137" w:lineRule="exact" w:before="0"/>
        <w:ind w:left="2090" w:right="0" w:firstLine="0"/>
        <w:jc w:val="left"/>
        <w:rPr>
          <w:rFonts w:ascii="Symbola"/>
          <w:sz w:val="17"/>
        </w:rPr>
      </w:pPr>
      <w:r>
        <w:rPr>
          <w:rFonts w:ascii="Symbola"/>
          <w:w w:val="115"/>
          <w:sz w:val="17"/>
        </w:rPr>
        <w:t>2</w:t>
      </w:r>
    </w:p>
    <w:p>
      <w:pPr>
        <w:pStyle w:val="BodyText"/>
        <w:spacing w:before="108"/>
        <w:ind w:left="1020"/>
      </w:pPr>
      <w:r>
        <w:rPr/>
        <w:t>where, </w:t>
      </w:r>
      <w:r>
        <w:rPr>
          <w:i/>
        </w:rPr>
        <w:t>n </w:t>
      </w:r>
      <w:r>
        <w:rPr/>
        <w:t>= 0, 1, 2, …… and </w:t>
      </w:r>
      <w:r>
        <w:rPr>
          <w:i/>
        </w:rPr>
        <w:t>h </w:t>
      </w:r>
      <w:r>
        <w:rPr/>
        <w:t>is the Plancks’s constant</w:t>
      </w:r>
    </w:p>
    <w:p>
      <w:pPr>
        <w:pStyle w:val="BodyText"/>
        <w:rPr>
          <w:sz w:val="26"/>
        </w:rPr>
      </w:pPr>
    </w:p>
    <w:p>
      <w:pPr>
        <w:pStyle w:val="BodyText"/>
        <w:spacing w:before="5"/>
        <w:rPr>
          <w:sz w:val="22"/>
        </w:rPr>
      </w:pPr>
    </w:p>
    <w:p>
      <w:pPr>
        <w:pStyle w:val="Heading4"/>
      </w:pPr>
      <w:r>
        <w:rPr/>
        <w:t>Absorption of infrared radiation</w:t>
      </w:r>
    </w:p>
    <w:p>
      <w:pPr>
        <w:spacing w:line="360" w:lineRule="auto" w:before="135"/>
        <w:ind w:left="299" w:right="315" w:firstLine="0"/>
        <w:jc w:val="both"/>
        <w:rPr>
          <w:sz w:val="24"/>
        </w:rPr>
      </w:pPr>
      <w:r>
        <w:rPr>
          <w:i/>
          <w:sz w:val="24"/>
        </w:rPr>
        <w:t>A molecular vibration is IR active i.e. it absorbs IR radiation if the vibration results in </w:t>
      </w:r>
      <w:r>
        <w:rPr>
          <w:i/>
          <w:sz w:val="24"/>
        </w:rPr>
        <w:t>a change in the dipole moment</w:t>
      </w:r>
      <w:r>
        <w:rPr>
          <w:sz w:val="24"/>
        </w:rPr>
        <w:t>. A diatomic molecule, that has one mode of vibration, may not absorb an IR radiation if the vibration does not accompany a change in the dipole moment. This is true for all the homonuclear diatomic molecules such as H</w:t>
      </w:r>
      <w:r>
        <w:rPr>
          <w:sz w:val="24"/>
          <w:vertAlign w:val="subscript"/>
        </w:rPr>
        <w:t>2</w:t>
      </w:r>
      <w:r>
        <w:rPr>
          <w:sz w:val="24"/>
          <w:vertAlign w:val="baseline"/>
        </w:rPr>
        <w:t>, N</w:t>
      </w:r>
      <w:r>
        <w:rPr>
          <w:sz w:val="24"/>
          <w:vertAlign w:val="subscript"/>
        </w:rPr>
        <w:t>2</w:t>
      </w:r>
      <w:r>
        <w:rPr>
          <w:sz w:val="24"/>
          <w:vertAlign w:val="baseline"/>
        </w:rPr>
        <w:t>, O</w:t>
      </w:r>
      <w:r>
        <w:rPr>
          <w:sz w:val="24"/>
          <w:vertAlign w:val="subscript"/>
        </w:rPr>
        <w:t>2</w:t>
      </w:r>
      <w:r>
        <w:rPr>
          <w:sz w:val="24"/>
          <w:vertAlign w:val="baseline"/>
        </w:rPr>
        <w:t>, etc. Vibration of carbon monoxide (C=O), on the other hand, causes a change in dipole moment and is therefore IR active. Vibration of a bond involving two atoms that have large electronegativity difference is usually IR</w:t>
      </w:r>
      <w:r>
        <w:rPr>
          <w:spacing w:val="-13"/>
          <w:sz w:val="24"/>
          <w:vertAlign w:val="baseline"/>
        </w:rPr>
        <w:t> </w:t>
      </w:r>
      <w:r>
        <w:rPr>
          <w:sz w:val="24"/>
          <w:vertAlign w:val="baseline"/>
        </w:rPr>
        <w:t>active.</w:t>
      </w:r>
    </w:p>
    <w:p>
      <w:pPr>
        <w:pStyle w:val="BodyText"/>
        <w:spacing w:line="360" w:lineRule="auto"/>
        <w:ind w:left="300" w:right="316"/>
        <w:jc w:val="both"/>
      </w:pPr>
      <w:r>
        <w:rPr/>
        <w:t>An </w:t>
      </w:r>
      <w:r>
        <w:rPr>
          <w:spacing w:val="-3"/>
        </w:rPr>
        <w:t>IR </w:t>
      </w:r>
      <w:r>
        <w:rPr/>
        <w:t>active vibration of a particular frequency absorbs the </w:t>
      </w:r>
      <w:r>
        <w:rPr>
          <w:spacing w:val="-3"/>
        </w:rPr>
        <w:t>IR </w:t>
      </w:r>
      <w:r>
        <w:rPr/>
        <w:t>radiation of same frequency. Let us calculate the position of absorption band for carbonyl stretching vibration (frequency = 5.1 × 10</w:t>
      </w:r>
      <w:r>
        <w:rPr>
          <w:vertAlign w:val="superscript"/>
        </w:rPr>
        <w:t>13</w:t>
      </w:r>
      <w:r>
        <w:rPr>
          <w:vertAlign w:val="baseline"/>
        </w:rPr>
        <w:t> vibrations/second) in</w:t>
      </w:r>
      <w:r>
        <w:rPr>
          <w:spacing w:val="-7"/>
          <w:vertAlign w:val="baseline"/>
        </w:rPr>
        <w:t> </w:t>
      </w:r>
      <w:r>
        <w:rPr>
          <w:vertAlign w:val="baseline"/>
        </w:rPr>
        <w:t>acetone.</w:t>
      </w:r>
    </w:p>
    <w:p>
      <w:pPr>
        <w:pStyle w:val="BodyText"/>
        <w:spacing w:line="182" w:lineRule="exact" w:before="60"/>
        <w:ind w:left="642" w:right="1654"/>
        <w:jc w:val="center"/>
      </w:pPr>
      <w:r>
        <w:rPr/>
        <w:pict>
          <v:rect style="position:absolute;margin-left:258.720001pt;margin-top:10.362122pt;width:5.04pt;height:.841pt;mso-position-horizontal-relative:page;mso-position-vertical-relative:paragraph;z-index:15799808" filled="true" fillcolor="#000000" stroked="false">
            <v:fill type="solid"/>
            <w10:wrap type="none"/>
          </v:rect>
        </w:pict>
      </w:r>
      <w:r>
        <w:rPr/>
        <w:pict>
          <v:rect style="position:absolute;margin-left:282.119995pt;margin-top:10.362122pt;width:5.16pt;height:.841pt;mso-position-horizontal-relative:page;mso-position-vertical-relative:paragraph;z-index:15800320" filled="true" fillcolor="#000000" stroked="false">
            <v:fill type="solid"/>
            <w10:wrap type="none"/>
          </v:rect>
        </w:pict>
      </w:r>
      <w:r>
        <w:rPr>
          <w:rFonts w:ascii="Symbola" w:hAnsi="Symbola" w:eastAsia="Symbola"/>
        </w:rPr>
        <w:t>𝜈̅  =  </w:t>
      </w:r>
      <w:r>
        <w:rPr>
          <w:rFonts w:ascii="Symbola" w:hAnsi="Symbola" w:eastAsia="Symbola"/>
          <w:vertAlign w:val="superscript"/>
        </w:rPr>
        <w:t>1</w:t>
      </w:r>
      <w:r>
        <w:rPr>
          <w:rFonts w:ascii="Symbola" w:hAnsi="Symbola" w:eastAsia="Symbola"/>
          <w:vertAlign w:val="baseline"/>
        </w:rPr>
        <w:t> =  </w:t>
      </w:r>
      <w:r>
        <w:rPr>
          <w:rFonts w:ascii="Symbola" w:hAnsi="Symbola" w:eastAsia="Symbola"/>
          <w:vertAlign w:val="superscript"/>
        </w:rPr>
        <w:t>𝜈</w:t>
      </w:r>
      <w:r>
        <w:rPr>
          <w:rFonts w:ascii="Symbola" w:hAnsi="Symbola" w:eastAsia="Symbola"/>
          <w:vertAlign w:val="baseline"/>
        </w:rPr>
        <w:t> </w:t>
      </w:r>
      <w:r>
        <w:rPr>
          <w:vertAlign w:val="baseline"/>
        </w:rPr>
        <w:t>cm</w:t>
      </w:r>
      <w:r>
        <w:rPr>
          <w:vertAlign w:val="superscript"/>
        </w:rPr>
        <w:t>-1</w:t>
      </w:r>
    </w:p>
    <w:p>
      <w:pPr>
        <w:tabs>
          <w:tab w:pos="472" w:val="left" w:leader="none"/>
        </w:tabs>
        <w:spacing w:before="29"/>
        <w:ind w:left="0" w:right="1016" w:firstLine="0"/>
        <w:jc w:val="center"/>
        <w:rPr>
          <w:rFonts w:ascii="Symbola" w:eastAsia="Symbola"/>
          <w:sz w:val="17"/>
        </w:rPr>
      </w:pPr>
      <w:r>
        <w:rPr>
          <w:rFonts w:ascii="Symbola" w:eastAsia="Symbola"/>
          <w:sz w:val="17"/>
        </w:rPr>
        <w:t>𝜆</w:t>
        <w:tab/>
        <w:t>𝑐</w:t>
      </w:r>
    </w:p>
    <w:p>
      <w:pPr>
        <w:spacing w:after="0"/>
        <w:jc w:val="center"/>
        <w:rPr>
          <w:rFonts w:ascii="Symbola" w:eastAsia="Symbola"/>
          <w:sz w:val="17"/>
        </w:rPr>
        <w:sectPr>
          <w:type w:val="continuous"/>
          <w:pgSz w:w="11910" w:h="16840"/>
          <w:pgMar w:top="1300" w:bottom="940" w:left="1500" w:right="1480"/>
        </w:sectPr>
      </w:pPr>
    </w:p>
    <w:p>
      <w:pPr>
        <w:spacing w:line="199" w:lineRule="auto" w:before="125"/>
        <w:ind w:left="3180" w:right="0" w:firstLine="0"/>
        <w:jc w:val="left"/>
        <w:rPr>
          <w:rFonts w:ascii="Symbola" w:hAnsi="Symbola" w:eastAsia="Symbola"/>
          <w:sz w:val="14"/>
        </w:rPr>
      </w:pPr>
      <w:r>
        <w:rPr/>
        <w:pict>
          <v:rect style="position:absolute;margin-left:258.720001pt;margin-top:17.56953pt;width:65.039pt;height:.84pt;mso-position-horizontal-relative:page;mso-position-vertical-relative:paragraph;z-index:-18466816" filled="true" fillcolor="#000000" stroked="false">
            <v:fill type="solid"/>
            <w10:wrap type="none"/>
          </v:rect>
        </w:pict>
      </w:r>
      <w:r>
        <w:rPr/>
        <w:pict>
          <v:shape style="position:absolute;margin-left:283.440002pt;margin-top:18.276173pt;width:8.35pt;height:8.2pt;mso-position-horizontal-relative:page;mso-position-vertical-relative:paragraph;z-index:-18465792" type="#_x0000_t202" filled="false" stroked="false">
            <v:textbox inset="0,0,0,0">
              <w:txbxContent>
                <w:p>
                  <w:pPr>
                    <w:spacing w:before="22"/>
                    <w:ind w:left="0" w:right="0" w:firstLine="0"/>
                    <w:jc w:val="left"/>
                    <w:rPr>
                      <w:rFonts w:ascii="Symbola"/>
                      <w:sz w:val="14"/>
                    </w:rPr>
                  </w:pPr>
                  <w:r>
                    <w:rPr>
                      <w:rFonts w:ascii="Symbola"/>
                      <w:w w:val="115"/>
                      <w:sz w:val="14"/>
                    </w:rPr>
                    <w:t>10</w:t>
                  </w:r>
                </w:p>
              </w:txbxContent>
            </v:textbox>
            <w10:wrap type="none"/>
          </v:shape>
        </w:pict>
      </w:r>
      <w:r>
        <w:rPr>
          <w:rFonts w:ascii="Symbola" w:hAnsi="Symbola" w:eastAsia="Symbola"/>
          <w:spacing w:val="-3"/>
          <w:position w:val="-13"/>
          <w:sz w:val="24"/>
        </w:rPr>
        <w:t>𝜈̅  </w:t>
      </w:r>
      <w:r>
        <w:rPr>
          <w:rFonts w:ascii="Symbola" w:hAnsi="Symbola" w:eastAsia="Symbola"/>
          <w:position w:val="-13"/>
          <w:sz w:val="24"/>
        </w:rPr>
        <w:t>=  </w:t>
      </w:r>
      <w:r>
        <w:rPr>
          <w:rFonts w:ascii="Symbola" w:hAnsi="Symbola" w:eastAsia="Symbola"/>
          <w:sz w:val="17"/>
        </w:rPr>
        <w:t>5.1 × 10</w:t>
      </w:r>
      <w:r>
        <w:rPr>
          <w:rFonts w:ascii="Symbola" w:hAnsi="Symbola" w:eastAsia="Symbola"/>
          <w:position w:val="6"/>
          <w:sz w:val="14"/>
        </w:rPr>
        <w:t>13</w:t>
      </w:r>
      <w:r>
        <w:rPr>
          <w:rFonts w:ascii="Symbola" w:hAnsi="Symbola" w:eastAsia="Symbola"/>
          <w:spacing w:val="-15"/>
          <w:position w:val="6"/>
          <w:sz w:val="14"/>
        </w:rPr>
        <w:t> </w:t>
      </w:r>
      <w:r>
        <w:rPr>
          <w:rFonts w:ascii="Symbola" w:hAnsi="Symbola" w:eastAsia="Symbola"/>
          <w:sz w:val="17"/>
        </w:rPr>
        <w:t>𝑠𝑒𝑐</w:t>
      </w:r>
      <w:r>
        <w:rPr>
          <w:rFonts w:ascii="Symbola" w:hAnsi="Symbola" w:eastAsia="Symbola"/>
          <w:position w:val="6"/>
          <w:sz w:val="14"/>
        </w:rPr>
        <w:t>−1</w:t>
      </w:r>
    </w:p>
    <w:p>
      <w:pPr>
        <w:tabs>
          <w:tab w:pos="705" w:val="left" w:leader="none"/>
        </w:tabs>
        <w:spacing w:line="139" w:lineRule="exact" w:before="0"/>
        <w:ind w:left="0" w:right="0" w:firstLine="0"/>
        <w:jc w:val="right"/>
        <w:rPr>
          <w:rFonts w:ascii="Symbola" w:hAnsi="Symbola" w:eastAsia="Symbola"/>
          <w:sz w:val="17"/>
        </w:rPr>
      </w:pPr>
      <w:r>
        <w:rPr>
          <w:rFonts w:ascii="Symbola" w:hAnsi="Symbola" w:eastAsia="Symbola"/>
          <w:w w:val="110"/>
          <w:sz w:val="17"/>
        </w:rPr>
        <w:t>3</w:t>
      </w:r>
      <w:r>
        <w:rPr>
          <w:rFonts w:ascii="Symbola" w:hAnsi="Symbola" w:eastAsia="Symbola"/>
          <w:spacing w:val="-12"/>
          <w:w w:val="110"/>
          <w:sz w:val="17"/>
        </w:rPr>
        <w:t> </w:t>
      </w:r>
      <w:r>
        <w:rPr>
          <w:rFonts w:ascii="Symbola" w:hAnsi="Symbola" w:eastAsia="Symbola"/>
          <w:w w:val="110"/>
          <w:sz w:val="17"/>
        </w:rPr>
        <w:t>×</w:t>
      </w:r>
      <w:r>
        <w:rPr>
          <w:rFonts w:ascii="Symbola" w:hAnsi="Symbola" w:eastAsia="Symbola"/>
          <w:spacing w:val="-10"/>
          <w:w w:val="110"/>
          <w:sz w:val="17"/>
        </w:rPr>
        <w:t> </w:t>
      </w:r>
      <w:r>
        <w:rPr>
          <w:rFonts w:ascii="Symbola" w:hAnsi="Symbola" w:eastAsia="Symbola"/>
          <w:w w:val="110"/>
          <w:sz w:val="17"/>
        </w:rPr>
        <w:t>10</w:t>
        <w:tab/>
      </w:r>
      <w:r>
        <w:rPr>
          <w:rFonts w:ascii="Symbola" w:hAnsi="Symbola" w:eastAsia="Symbola"/>
          <w:spacing w:val="-5"/>
          <w:w w:val="110"/>
          <w:sz w:val="17"/>
        </w:rPr>
        <w:t>𝑐𝑚/𝑠𝑒𝑐</w:t>
      </w:r>
    </w:p>
    <w:p>
      <w:pPr>
        <w:pStyle w:val="BodyText"/>
        <w:spacing w:before="205"/>
        <w:ind w:left="329"/>
      </w:pPr>
      <w:r>
        <w:rPr/>
        <w:br w:type="column"/>
      </w:r>
      <w:r>
        <w:rPr/>
        <w:t>= 1700 cm</w:t>
      </w:r>
      <w:r>
        <w:rPr>
          <w:vertAlign w:val="superscript"/>
        </w:rPr>
        <w:t>-1</w:t>
      </w:r>
    </w:p>
    <w:p>
      <w:pPr>
        <w:spacing w:after="0"/>
        <w:sectPr>
          <w:type w:val="continuous"/>
          <w:pgSz w:w="11910" w:h="16840"/>
          <w:pgMar w:top="1300" w:bottom="940" w:left="1500" w:right="1480"/>
          <w:cols w:num="2" w:equalWidth="0">
            <w:col w:w="4971" w:space="40"/>
            <w:col w:w="3919"/>
          </w:cols>
        </w:sectPr>
      </w:pPr>
    </w:p>
    <w:p>
      <w:pPr>
        <w:pStyle w:val="Heading4"/>
        <w:spacing w:before="124"/>
        <w:jc w:val="left"/>
      </w:pPr>
      <w:r>
        <w:rPr/>
        <w:t>Instrumentation</w:t>
      </w:r>
    </w:p>
    <w:p>
      <w:pPr>
        <w:pStyle w:val="BodyText"/>
        <w:spacing w:line="360" w:lineRule="auto" w:before="132"/>
        <w:ind w:left="300" w:right="320"/>
        <w:jc w:val="both"/>
      </w:pPr>
      <w:r>
        <w:rPr/>
        <w:t>Two types of infrared spectrometers are commercially available: dispersive and Fourier Transform infrared (FTIR) spectrometers.</w:t>
      </w:r>
    </w:p>
    <w:p>
      <w:pPr>
        <w:pStyle w:val="BodyText"/>
        <w:spacing w:line="360" w:lineRule="auto"/>
        <w:ind w:left="300" w:right="316"/>
        <w:jc w:val="both"/>
      </w:pPr>
      <w:r>
        <w:rPr>
          <w:i/>
        </w:rPr>
        <w:t>Dispersive spectrometer: </w:t>
      </w:r>
      <w:r>
        <w:rPr/>
        <w:t>A dispersive spectrometer is very similar in design to a UV/visible spectrophotometer. It has a radiation source, a grating monochromator, and a detector. The IR radiation generated by the source is dispersed into different frequencies by a monochromator. The selected frequencies go through sample and reference cells and the transmitted light is measured by the detector. The infrared sources are usually inert solids that are electrically heated to radiate infrared radiation. The detectors usually are either thermal sensors such as thermocouples and thermistors or the semiconductor materials that conduct following absorption of </w:t>
      </w:r>
      <w:r>
        <w:rPr>
          <w:spacing w:val="-3"/>
        </w:rPr>
        <w:t>IR </w:t>
      </w:r>
      <w:r>
        <w:rPr/>
        <w:t>radiation (absorption of photon causes transition of electrons from the valence band to the conduction</w:t>
      </w:r>
      <w:r>
        <w:rPr>
          <w:spacing w:val="-2"/>
        </w:rPr>
        <w:t> </w:t>
      </w:r>
      <w:r>
        <w:rPr/>
        <w:t>band).</w:t>
      </w:r>
    </w:p>
    <w:p>
      <w:pPr>
        <w:pStyle w:val="BodyText"/>
        <w:spacing w:line="360" w:lineRule="auto" w:before="1"/>
        <w:ind w:left="300" w:right="317"/>
        <w:jc w:val="both"/>
      </w:pPr>
      <w:r>
        <w:rPr>
          <w:i/>
        </w:rPr>
        <w:t>Fourier Transform Spectrometer: </w:t>
      </w:r>
      <w:r>
        <w:rPr/>
        <w:t>A Fourier transform spectrometer uses an interferometer in place of the monochromator. An interference of polychromatic radiation is generated using an interferometer, usually a Michelson interferometer (Please see Box 10.1). Absorption of any particular wavelength will bring a change in the interferogram which gets detected. An interferogram is a time domain signal and is converted to frequency domain signal though Fourier</w:t>
      </w:r>
      <w:r>
        <w:rPr>
          <w:spacing w:val="-8"/>
        </w:rPr>
        <w:t> </w:t>
      </w:r>
      <w:r>
        <w:rPr/>
        <w:t>Transformation.</w:t>
      </w:r>
    </w:p>
    <w:p>
      <w:pPr>
        <w:pStyle w:val="BodyText"/>
        <w:spacing w:line="360" w:lineRule="auto"/>
        <w:ind w:left="300" w:right="315"/>
        <w:jc w:val="both"/>
      </w:pPr>
      <w:r>
        <w:rPr/>
        <w:t>Dispersive infrared spectrometers are still in use but FTIR spectrometers are slowly taking over. FTIR spectrometers have several advantages over the dispersive</w:t>
      </w:r>
      <w:r>
        <w:rPr>
          <w:spacing w:val="-14"/>
        </w:rPr>
        <w:t> </w:t>
      </w:r>
      <w:r>
        <w:rPr/>
        <w:t>ones:</w:t>
      </w:r>
    </w:p>
    <w:p>
      <w:pPr>
        <w:pStyle w:val="ListParagraph"/>
        <w:numPr>
          <w:ilvl w:val="0"/>
          <w:numId w:val="12"/>
        </w:numPr>
        <w:tabs>
          <w:tab w:pos="1020" w:val="left" w:leader="none"/>
        </w:tabs>
        <w:spacing w:line="360" w:lineRule="auto" w:before="0" w:after="0"/>
        <w:ind w:left="1020" w:right="317" w:hanging="488"/>
        <w:jc w:val="both"/>
        <w:rPr>
          <w:sz w:val="24"/>
        </w:rPr>
      </w:pPr>
      <w:r>
        <w:rPr>
          <w:sz w:val="24"/>
        </w:rPr>
        <w:t>Better speed: FTIR spectrometers detect absorption of all the frequencies simultaneously; consequently, they are much faster than the dispersive spectrometers that scan the entire frequency range</w:t>
      </w:r>
      <w:r>
        <w:rPr>
          <w:spacing w:val="-8"/>
          <w:sz w:val="24"/>
        </w:rPr>
        <w:t> </w:t>
      </w:r>
      <w:r>
        <w:rPr>
          <w:sz w:val="24"/>
        </w:rPr>
        <w:t>stepwise.</w:t>
      </w:r>
    </w:p>
    <w:p>
      <w:pPr>
        <w:pStyle w:val="ListParagraph"/>
        <w:numPr>
          <w:ilvl w:val="0"/>
          <w:numId w:val="12"/>
        </w:numPr>
        <w:tabs>
          <w:tab w:pos="1020" w:val="left" w:leader="none"/>
        </w:tabs>
        <w:spacing w:line="360" w:lineRule="auto" w:before="1" w:after="0"/>
        <w:ind w:left="1020" w:right="314" w:hanging="555"/>
        <w:jc w:val="both"/>
        <w:rPr>
          <w:sz w:val="24"/>
        </w:rPr>
      </w:pPr>
      <w:r>
        <w:rPr>
          <w:sz w:val="24"/>
        </w:rPr>
        <w:t>Better sensitivity: Their speed of data acquisition makes FTIR spectrometers more sensitive. A large number of spectra can be recorded in small</w:t>
      </w:r>
      <w:r>
        <w:rPr>
          <w:spacing w:val="-2"/>
          <w:sz w:val="24"/>
        </w:rPr>
        <w:t> </w:t>
      </w:r>
      <w:r>
        <w:rPr>
          <w:sz w:val="24"/>
        </w:rPr>
        <w:t>time</w:t>
      </w:r>
    </w:p>
    <w:p>
      <w:pPr>
        <w:pStyle w:val="BodyText"/>
        <w:spacing w:line="243" w:lineRule="exact" w:before="82"/>
        <w:ind w:left="1020"/>
      </w:pPr>
      <w:r>
        <w:rPr/>
        <w:t>thereby giving an improved signal to noise </w:t>
      </w:r>
      <w:r>
        <w:rPr>
          <w:rFonts w:ascii="Symbola" w:hAnsi="Symbola" w:cs="Symbola" w:eastAsia="Symbola"/>
        </w:rPr>
        <w:t>�</w:t>
      </w:r>
      <w:r>
        <w:rPr>
          <w:rFonts w:ascii="Symbola" w:hAnsi="Symbola" w:cs="Symbola" w:eastAsia="Symbola"/>
          <w:u w:val="single"/>
          <w:vertAlign w:val="superscript"/>
        </w:rPr>
        <w:t>𝑆</w:t>
      </w:r>
      <w:r>
        <w:rPr>
          <w:rFonts w:ascii="Symbola" w:hAnsi="Symbola" w:cs="Symbola" w:eastAsia="Symbola"/>
          <w:vertAlign w:val="baseline"/>
        </w:rPr>
        <w:t> </w:t>
      </w:r>
      <w:r>
        <w:rPr>
          <w:rFonts w:ascii="Symbola" w:hAnsi="Symbola" w:cs="Symbola" w:eastAsia="Symbola"/>
          <w:w w:val="90"/>
          <w:vertAlign w:val="baseline"/>
        </w:rPr>
        <w:t>� </w:t>
      </w:r>
      <w:r>
        <w:rPr>
          <w:vertAlign w:val="baseline"/>
        </w:rPr>
        <w:t>ratio.</w:t>
      </w:r>
    </w:p>
    <w:p>
      <w:pPr>
        <w:spacing w:line="137" w:lineRule="exact" w:before="0"/>
        <w:ind w:left="2427" w:right="617" w:firstLine="0"/>
        <w:jc w:val="center"/>
        <w:rPr>
          <w:rFonts w:ascii="Symbola" w:eastAsia="Symbola"/>
          <w:sz w:val="17"/>
        </w:rPr>
      </w:pPr>
      <w:r>
        <w:rPr/>
        <w:pict>
          <v:shape style="position:absolute;margin-left:200.759995pt;margin-top:17.033470pt;width:7.9pt;height:14.1pt;mso-position-horizontal-relative:page;mso-position-vertical-relative:paragraph;z-index:-18464768" type="#_x0000_t202" filled="false" stroked="false">
            <v:textbox inset="0,0,0,0">
              <w:txbxContent>
                <w:p>
                  <w:pPr>
                    <w:pStyle w:val="BodyText"/>
                    <w:spacing w:before="40"/>
                    <w:rPr>
                      <w:rFonts w:ascii="Symbola" w:hAnsi="Symbola"/>
                    </w:rPr>
                  </w:pPr>
                  <w:r>
                    <w:rPr>
                      <w:rFonts w:ascii="Symbola" w:hAnsi="Symbola"/>
                      <w:w w:val="79"/>
                    </w:rPr>
                    <w:t>√</w:t>
                  </w:r>
                </w:p>
              </w:txbxContent>
            </v:textbox>
            <w10:wrap type="none"/>
          </v:shape>
        </w:pict>
      </w:r>
      <w:r>
        <w:rPr>
          <w:rFonts w:ascii="Symbola" w:eastAsia="Symbola"/>
          <w:w w:val="135"/>
          <w:sz w:val="17"/>
        </w:rPr>
        <w:t>𝑁</w:t>
      </w:r>
    </w:p>
    <w:p>
      <w:pPr>
        <w:pStyle w:val="BodyText"/>
        <w:spacing w:before="1"/>
        <w:rPr>
          <w:rFonts w:ascii="Symbola"/>
          <w:sz w:val="17"/>
        </w:rPr>
      </w:pPr>
      <w:r>
        <w:rPr/>
        <w:pict>
          <v:rect style="position:absolute;margin-left:208.679993pt;margin-top:10.533871pt;width:7.079pt;height:.84pt;mso-position-horizontal-relative:page;mso-position-vertical-relative:paragraph;z-index:-15654912;mso-wrap-distance-left:0;mso-wrap-distance-right:0" filled="true" fillcolor="#000000" stroked="false">
            <v:fill type="solid"/>
            <w10:wrap type="topAndBottom"/>
          </v:rect>
        </w:pict>
      </w:r>
    </w:p>
    <w:p>
      <w:pPr>
        <w:pStyle w:val="BodyText"/>
        <w:tabs>
          <w:tab w:pos="3909" w:val="left" w:leader="none"/>
        </w:tabs>
        <w:spacing w:line="177" w:lineRule="exact"/>
        <w:ind w:left="1740"/>
        <w:jc w:val="both"/>
      </w:pPr>
      <w:r>
        <w:rPr>
          <w:rFonts w:ascii="Symbola" w:hAnsi="Symbola" w:cs="Symbola" w:eastAsia="Symbola"/>
          <w:spacing w:val="8"/>
        </w:rPr>
        <w:t>�</w:t>
      </w:r>
      <w:r>
        <w:rPr>
          <w:rFonts w:ascii="Symbola" w:hAnsi="Symbola" w:cs="Symbola" w:eastAsia="Symbola"/>
          <w:spacing w:val="8"/>
          <w:u w:val="single"/>
          <w:vertAlign w:val="superscript"/>
        </w:rPr>
        <w:t>𝑆</w:t>
      </w:r>
      <w:r>
        <w:rPr>
          <w:rFonts w:ascii="Symbola" w:hAnsi="Symbola" w:cs="Symbola" w:eastAsia="Symbola"/>
          <w:spacing w:val="-37"/>
          <w:vertAlign w:val="baseline"/>
        </w:rPr>
        <w:t> </w:t>
      </w:r>
      <w:r>
        <w:rPr>
          <w:rFonts w:ascii="Symbola" w:hAnsi="Symbola" w:cs="Symbola" w:eastAsia="Symbola"/>
          <w:w w:val="90"/>
          <w:vertAlign w:val="baseline"/>
        </w:rPr>
        <w:t>� </w:t>
      </w:r>
      <w:r>
        <w:rPr>
          <w:rFonts w:ascii="Symbola" w:hAnsi="Symbola" w:cs="Symbola" w:eastAsia="Symbola"/>
          <w:vertAlign w:val="baseline"/>
        </w:rPr>
        <w:t>∝ </w:t>
      </w:r>
      <w:r>
        <w:rPr>
          <w:rFonts w:ascii="Symbola" w:hAnsi="Symbola" w:cs="Symbola" w:eastAsia="Symbola"/>
          <w:spacing w:val="35"/>
          <w:vertAlign w:val="baseline"/>
        </w:rPr>
        <w:t> </w:t>
      </w:r>
      <w:r>
        <w:rPr>
          <w:rFonts w:ascii="Symbola" w:hAnsi="Symbola" w:cs="Symbola" w:eastAsia="Symbola"/>
          <w:vertAlign w:val="baseline"/>
        </w:rPr>
        <w:t>𝑛</w:t>
        <w:tab/>
      </w:r>
      <w:r>
        <w:rPr>
          <w:spacing w:val="9"/>
          <w:vertAlign w:val="baseline"/>
        </w:rPr>
        <w:t>···········································</w:t>
      </w:r>
      <w:r>
        <w:rPr>
          <w:spacing w:val="55"/>
          <w:vertAlign w:val="baseline"/>
        </w:rPr>
        <w:t> </w:t>
      </w:r>
      <w:r>
        <w:rPr>
          <w:vertAlign w:val="baseline"/>
        </w:rPr>
        <w:t>(10.6)</w:t>
      </w:r>
    </w:p>
    <w:p>
      <w:pPr>
        <w:spacing w:line="137" w:lineRule="exact" w:before="0"/>
        <w:ind w:left="1857" w:right="0" w:firstLine="0"/>
        <w:jc w:val="left"/>
        <w:rPr>
          <w:rFonts w:ascii="Symbola" w:eastAsia="Symbola"/>
          <w:sz w:val="17"/>
        </w:rPr>
      </w:pPr>
      <w:r>
        <w:rPr>
          <w:rFonts w:ascii="Symbola" w:eastAsia="Symbola"/>
          <w:w w:val="135"/>
          <w:sz w:val="17"/>
        </w:rPr>
        <w:t>𝑁</w:t>
      </w:r>
    </w:p>
    <w:p>
      <w:pPr>
        <w:pStyle w:val="BodyText"/>
        <w:spacing w:before="109"/>
        <w:ind w:left="1740"/>
        <w:jc w:val="both"/>
      </w:pPr>
      <w:r>
        <w:rPr/>
        <w:t>where, </w:t>
      </w:r>
      <w:r>
        <w:rPr>
          <w:i/>
        </w:rPr>
        <w:t>n </w:t>
      </w:r>
      <w:r>
        <w:rPr/>
        <w:t>is the number of independent measurements</w:t>
      </w:r>
    </w:p>
    <w:p>
      <w:pPr>
        <w:pStyle w:val="ListParagraph"/>
        <w:numPr>
          <w:ilvl w:val="0"/>
          <w:numId w:val="12"/>
        </w:numPr>
        <w:tabs>
          <w:tab w:pos="1020" w:val="left" w:leader="none"/>
        </w:tabs>
        <w:spacing w:line="360" w:lineRule="auto" w:before="139" w:after="0"/>
        <w:ind w:left="1019" w:right="315" w:hanging="620"/>
        <w:jc w:val="both"/>
        <w:rPr>
          <w:sz w:val="24"/>
        </w:rPr>
      </w:pPr>
      <w:r>
        <w:rPr>
          <w:sz w:val="24"/>
        </w:rPr>
        <w:t>More radiation energy: Dispersive spectrometers use slits that result in loss of radiation energy. FTIR spectrometers lack the slits as filtering of radiation is not required; this provides higher radiation energy for recording the absorbance.</w:t>
      </w:r>
    </w:p>
    <w:p>
      <w:pPr>
        <w:spacing w:after="0" w:line="360" w:lineRule="auto"/>
        <w:jc w:val="both"/>
        <w:rPr>
          <w:sz w:val="24"/>
        </w:rPr>
        <w:sectPr>
          <w:pgSz w:w="11910" w:h="16840"/>
          <w:pgMar w:header="722" w:footer="748" w:top="1300" w:bottom="940" w:left="1500" w:right="1480"/>
        </w:sectPr>
      </w:pPr>
    </w:p>
    <w:p>
      <w:pPr>
        <w:pStyle w:val="ListParagraph"/>
        <w:numPr>
          <w:ilvl w:val="0"/>
          <w:numId w:val="12"/>
        </w:numPr>
        <w:tabs>
          <w:tab w:pos="1020" w:val="left" w:leader="none"/>
        </w:tabs>
        <w:spacing w:line="360" w:lineRule="auto" w:before="119" w:after="0"/>
        <w:ind w:left="1019" w:right="317" w:hanging="608"/>
        <w:jc w:val="both"/>
        <w:rPr>
          <w:sz w:val="24"/>
        </w:rPr>
      </w:pPr>
      <w:r>
        <w:rPr>
          <w:sz w:val="24"/>
        </w:rPr>
        <w:t>Simple design: As dispersion of the radiation and filtering are not required in the FTIR spectrometer, the movable mirror is the only moving part in the spectrometer.</w:t>
      </w:r>
    </w:p>
    <w:p>
      <w:pPr>
        <w:pStyle w:val="ListParagraph"/>
        <w:numPr>
          <w:ilvl w:val="0"/>
          <w:numId w:val="12"/>
        </w:numPr>
        <w:tabs>
          <w:tab w:pos="1020" w:val="left" w:leader="none"/>
        </w:tabs>
        <w:spacing w:line="360" w:lineRule="auto" w:before="0" w:after="0"/>
        <w:ind w:left="1019" w:right="315" w:hanging="540"/>
        <w:jc w:val="both"/>
        <w:rPr>
          <w:sz w:val="24"/>
        </w:rPr>
      </w:pPr>
      <w:r>
        <w:rPr>
          <w:sz w:val="24"/>
        </w:rPr>
        <w:t>Wavelength accuracy: The FTIR spectrometers usually have a He-Ne laser emitting light of 632.8 nm. This serves as an internal calibration for the wavelength and provides an accuracy of 0.01 cm</w:t>
      </w:r>
      <w:r>
        <w:rPr>
          <w:sz w:val="24"/>
          <w:vertAlign w:val="superscript"/>
        </w:rPr>
        <w:t>-1</w:t>
      </w:r>
      <w:r>
        <w:rPr>
          <w:sz w:val="24"/>
          <w:vertAlign w:val="baseline"/>
        </w:rPr>
        <w:t> or</w:t>
      </w:r>
      <w:r>
        <w:rPr>
          <w:spacing w:val="-5"/>
          <w:sz w:val="24"/>
          <w:vertAlign w:val="baseline"/>
        </w:rPr>
        <w:t> </w:t>
      </w:r>
      <w:r>
        <w:rPr>
          <w:sz w:val="24"/>
          <w:vertAlign w:val="baseline"/>
        </w:rPr>
        <w:t>better.</w:t>
      </w:r>
    </w:p>
    <w:p>
      <w:pPr>
        <w:pStyle w:val="BodyText"/>
        <w:spacing w:before="4"/>
        <w:rPr>
          <w:sz w:val="36"/>
        </w:rPr>
      </w:pPr>
    </w:p>
    <w:p>
      <w:pPr>
        <w:pStyle w:val="Heading4"/>
        <w:spacing w:line="360" w:lineRule="auto"/>
        <w:ind w:right="317"/>
      </w:pPr>
      <w:r>
        <w:rPr/>
        <w:t>Attenuated Total Reflectance – Fourier Transform Infrared Spectrometer (ATR-FTIR)</w:t>
      </w:r>
    </w:p>
    <w:p>
      <w:pPr>
        <w:pStyle w:val="BodyText"/>
        <w:spacing w:line="360" w:lineRule="auto"/>
        <w:ind w:left="300" w:right="318"/>
        <w:jc w:val="both"/>
      </w:pPr>
      <w:r>
        <w:rPr/>
        <w:drawing>
          <wp:anchor distT="0" distB="0" distL="0" distR="0" allowOverlap="1" layoutInCell="1" locked="0" behindDoc="0" simplePos="0" relativeHeight="146">
            <wp:simplePos x="0" y="0"/>
            <wp:positionH relativeFrom="page">
              <wp:posOffset>1325210</wp:posOffset>
            </wp:positionH>
            <wp:positionV relativeFrom="paragraph">
              <wp:posOffset>1338399</wp:posOffset>
            </wp:positionV>
            <wp:extent cx="5123292" cy="1463039"/>
            <wp:effectExtent l="0" t="0" r="0" b="0"/>
            <wp:wrapTopAndBottom/>
            <wp:docPr id="115" name="image61.jpeg" descr="Figure 10.5.tif"/>
            <wp:cNvGraphicFramePr>
              <a:graphicFrameLocks noChangeAspect="1"/>
            </wp:cNvGraphicFramePr>
            <a:graphic>
              <a:graphicData uri="http://schemas.openxmlformats.org/drawingml/2006/picture">
                <pic:pic>
                  <pic:nvPicPr>
                    <pic:cNvPr id="116" name="image61.jpeg"/>
                    <pic:cNvPicPr/>
                  </pic:nvPicPr>
                  <pic:blipFill>
                    <a:blip r:embed="rId69" cstate="print"/>
                    <a:stretch>
                      <a:fillRect/>
                    </a:stretch>
                  </pic:blipFill>
                  <pic:spPr>
                    <a:xfrm>
                      <a:off x="0" y="0"/>
                      <a:ext cx="5123292" cy="1463039"/>
                    </a:xfrm>
                    <a:prstGeom prst="rect">
                      <a:avLst/>
                    </a:prstGeom>
                  </pic:spPr>
                </pic:pic>
              </a:graphicData>
            </a:graphic>
          </wp:anchor>
        </w:drawing>
      </w:r>
      <w:r>
        <w:rPr/>
        <w:t>An ATR-FTIR works on the principle of total internal reflection and the evanescent field (Figure 10.5). The refractive index of the ATR crystal (usually Zinc selenide, diamond, Germanium) is significantly higher than that of the samples that are to be studied. An IR beam gets refracted at the interface of the ATR material and the sample (Figure</w:t>
      </w:r>
      <w:r>
        <w:rPr>
          <w:spacing w:val="-3"/>
        </w:rPr>
        <w:t> </w:t>
      </w:r>
      <w:r>
        <w:rPr/>
        <w:t>10.5A).</w:t>
      </w:r>
    </w:p>
    <w:p>
      <w:pPr>
        <w:pStyle w:val="BodyText"/>
        <w:spacing w:before="3"/>
        <w:rPr>
          <w:sz w:val="26"/>
        </w:rPr>
      </w:pPr>
    </w:p>
    <w:p>
      <w:pPr>
        <w:spacing w:line="362" w:lineRule="auto" w:before="0"/>
        <w:ind w:left="496" w:right="311" w:firstLine="0"/>
        <w:jc w:val="left"/>
        <w:rPr>
          <w:b/>
          <w:sz w:val="16"/>
        </w:rPr>
      </w:pPr>
      <w:r>
        <w:rPr>
          <w:b/>
          <w:sz w:val="16"/>
        </w:rPr>
        <w:t>Figure 10.5 Phenomenon of total internal reflection. Notice the exponentially decaying evanescent field in the medium </w:t>
      </w:r>
      <w:r>
        <w:rPr>
          <w:b/>
          <w:position w:val="2"/>
          <w:sz w:val="16"/>
        </w:rPr>
        <w:t>of lower refractive index (n</w:t>
      </w:r>
      <w:r>
        <w:rPr>
          <w:b/>
          <w:sz w:val="10"/>
        </w:rPr>
        <w:t>1</w:t>
      </w:r>
      <w:r>
        <w:rPr>
          <w:b/>
          <w:position w:val="2"/>
          <w:sz w:val="16"/>
        </w:rPr>
        <w:t>)</w:t>
      </w:r>
    </w:p>
    <w:p>
      <w:pPr>
        <w:pStyle w:val="BodyText"/>
        <w:spacing w:before="1"/>
        <w:rPr>
          <w:b/>
          <w:sz w:val="16"/>
        </w:rPr>
      </w:pPr>
    </w:p>
    <w:p>
      <w:pPr>
        <w:pStyle w:val="BodyText"/>
        <w:spacing w:line="360" w:lineRule="auto" w:before="1"/>
        <w:ind w:left="300" w:right="315"/>
        <w:jc w:val="both"/>
      </w:pPr>
      <w:r>
        <w:rPr/>
        <w:t>If the angle of incidence, θ is more than the critical angle, θ</w:t>
      </w:r>
      <w:r>
        <w:rPr>
          <w:vertAlign w:val="subscript"/>
        </w:rPr>
        <w:t>c</w:t>
      </w:r>
      <w:r>
        <w:rPr>
          <w:vertAlign w:val="baseline"/>
        </w:rPr>
        <w:t> (Figure 10.5B and C), the beam gets totally internally reflected. Before getting totally reflected, however, an exponentially decaying field penetrates into the medium of low refractive index. This field is called an evanescent field and can interact with the molecules that are in the close proximity of the ATR crystal. If some part of the evanescent field is absorbed by the molecules, the reflected beam will be attenuated (become less intense) by this factor. The reflected beam will therefore be of lesser intensity implying absorption of radiation. The commercially available ATR instruments are FTIR spectrometers. ATR-FTIR allows studying the samples like thin films, powders, pastes by directly placing the sample on the ATR crystal.</w:t>
      </w:r>
    </w:p>
    <w:p>
      <w:pPr>
        <w:spacing w:after="0" w:line="360" w:lineRule="auto"/>
        <w:jc w:val="both"/>
        <w:sectPr>
          <w:pgSz w:w="11910" w:h="16840"/>
          <w:pgMar w:header="722" w:footer="748" w:top="1300" w:bottom="940" w:left="1500" w:right="1480"/>
        </w:sectPr>
      </w:pPr>
    </w:p>
    <w:p>
      <w:pPr>
        <w:pStyle w:val="Heading4"/>
        <w:spacing w:before="124"/>
      </w:pPr>
      <w:r>
        <w:rPr/>
        <w:t>Functional group region and fingerprint region</w:t>
      </w:r>
    </w:p>
    <w:p>
      <w:pPr>
        <w:pStyle w:val="BodyText"/>
        <w:spacing w:line="360" w:lineRule="auto" w:before="132"/>
        <w:ind w:left="300" w:right="318"/>
        <w:jc w:val="both"/>
      </w:pPr>
      <w:r>
        <w:rPr/>
        <w:t>The most common application of IR spectroscopy is perhaps to identify the functional groups. This is possible because different functional groups vibrate at different frequencies allowing their identification. The frequency of vibration, however, depends on additional factors such as delocalization of electrons, H-bonding, and substitutions at the nearby groups. The wavenumbers for some of the bonds are shown in Table 10.1.</w:t>
      </w:r>
    </w:p>
    <w:p>
      <w:pPr>
        <w:pStyle w:val="BodyText"/>
        <w:spacing w:after="1"/>
        <w:rPr>
          <w:sz w:val="18"/>
        </w:rPr>
      </w:pPr>
    </w:p>
    <w:tbl>
      <w:tblPr>
        <w:tblW w:w="0" w:type="auto"/>
        <w:jc w:val="left"/>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872"/>
        <w:gridCol w:w="4078"/>
        <w:gridCol w:w="2376"/>
      </w:tblGrid>
      <w:tr>
        <w:trPr>
          <w:trHeight w:val="474" w:hRule="atLeast"/>
        </w:trPr>
        <w:tc>
          <w:tcPr>
            <w:tcW w:w="8326" w:type="dxa"/>
            <w:gridSpan w:val="3"/>
          </w:tcPr>
          <w:p>
            <w:pPr>
              <w:pStyle w:val="TableParagraph"/>
              <w:spacing w:line="183" w:lineRule="exact"/>
              <w:ind w:left="1992" w:right="1981"/>
              <w:jc w:val="center"/>
              <w:rPr>
                <w:b/>
                <w:sz w:val="16"/>
              </w:rPr>
            </w:pPr>
            <w:r>
              <w:rPr>
                <w:b/>
                <w:sz w:val="16"/>
              </w:rPr>
              <w:t>Table 10.1 Typical vibrational frequencies of functional groups</w:t>
            </w:r>
          </w:p>
        </w:tc>
      </w:tr>
      <w:tr>
        <w:trPr>
          <w:trHeight w:val="613" w:hRule="atLeast"/>
        </w:trPr>
        <w:tc>
          <w:tcPr>
            <w:tcW w:w="1872" w:type="dxa"/>
          </w:tcPr>
          <w:p>
            <w:pPr>
              <w:pStyle w:val="TableParagraph"/>
              <w:spacing w:line="275" w:lineRule="exact"/>
              <w:rPr>
                <w:b/>
                <w:sz w:val="24"/>
              </w:rPr>
            </w:pPr>
            <w:r>
              <w:rPr>
                <w:b/>
                <w:sz w:val="24"/>
              </w:rPr>
              <w:t>Bond</w:t>
            </w:r>
          </w:p>
        </w:tc>
        <w:tc>
          <w:tcPr>
            <w:tcW w:w="4078" w:type="dxa"/>
          </w:tcPr>
          <w:p>
            <w:pPr>
              <w:pStyle w:val="TableParagraph"/>
              <w:spacing w:line="275" w:lineRule="exact"/>
              <w:rPr>
                <w:b/>
                <w:sz w:val="24"/>
              </w:rPr>
            </w:pPr>
            <w:r>
              <w:rPr>
                <w:b/>
                <w:sz w:val="24"/>
              </w:rPr>
              <w:t>Molecule</w:t>
            </w:r>
          </w:p>
        </w:tc>
        <w:tc>
          <w:tcPr>
            <w:tcW w:w="2376" w:type="dxa"/>
          </w:tcPr>
          <w:p>
            <w:pPr>
              <w:pStyle w:val="TableParagraph"/>
              <w:spacing w:line="275" w:lineRule="exact"/>
              <w:ind w:left="139" w:right="130"/>
              <w:jc w:val="center"/>
              <w:rPr>
                <w:b/>
                <w:sz w:val="24"/>
              </w:rPr>
            </w:pPr>
            <w:r>
              <w:rPr>
                <w:b/>
                <w:sz w:val="24"/>
              </w:rPr>
              <w:t>Wavenumber (cm</w:t>
            </w:r>
            <w:r>
              <w:rPr>
                <w:b/>
                <w:sz w:val="24"/>
                <w:vertAlign w:val="superscript"/>
              </w:rPr>
              <w:t>-1</w:t>
            </w:r>
            <w:r>
              <w:rPr>
                <w:b/>
                <w:sz w:val="24"/>
                <w:vertAlign w:val="baseline"/>
              </w:rPr>
              <w:t>)</w:t>
            </w:r>
          </w:p>
        </w:tc>
      </w:tr>
      <w:tr>
        <w:trPr>
          <w:trHeight w:val="1029" w:hRule="atLeast"/>
        </w:trPr>
        <w:tc>
          <w:tcPr>
            <w:tcW w:w="1872" w:type="dxa"/>
          </w:tcPr>
          <w:p>
            <w:pPr>
              <w:pStyle w:val="TableParagraph"/>
              <w:rPr>
                <w:sz w:val="24"/>
              </w:rPr>
            </w:pPr>
            <w:r>
              <w:rPr>
                <w:sz w:val="24"/>
              </w:rPr>
              <w:t>C–O</w:t>
            </w:r>
          </w:p>
        </w:tc>
        <w:tc>
          <w:tcPr>
            <w:tcW w:w="4078" w:type="dxa"/>
          </w:tcPr>
          <w:p>
            <w:pPr>
              <w:pStyle w:val="TableParagraph"/>
              <w:spacing w:line="360" w:lineRule="auto"/>
              <w:ind w:right="582"/>
              <w:rPr>
                <w:sz w:val="24"/>
              </w:rPr>
            </w:pPr>
            <w:r>
              <w:rPr>
                <w:sz w:val="24"/>
              </w:rPr>
              <w:t>Alcohols, ethers, esters, carboxylic acids, etc.</w:t>
            </w:r>
          </w:p>
        </w:tc>
        <w:tc>
          <w:tcPr>
            <w:tcW w:w="2376" w:type="dxa"/>
          </w:tcPr>
          <w:p>
            <w:pPr>
              <w:pStyle w:val="TableParagraph"/>
              <w:ind w:left="138" w:right="130"/>
              <w:jc w:val="center"/>
              <w:rPr>
                <w:sz w:val="24"/>
              </w:rPr>
            </w:pPr>
            <w:r>
              <w:rPr>
                <w:sz w:val="24"/>
              </w:rPr>
              <w:t>1300 – 1000</w:t>
            </w:r>
          </w:p>
        </w:tc>
      </w:tr>
      <w:tr>
        <w:trPr>
          <w:trHeight w:val="1026" w:hRule="atLeast"/>
        </w:trPr>
        <w:tc>
          <w:tcPr>
            <w:tcW w:w="1872" w:type="dxa"/>
          </w:tcPr>
          <w:p>
            <w:pPr>
              <w:pStyle w:val="TableParagraph"/>
              <w:rPr>
                <w:sz w:val="24"/>
              </w:rPr>
            </w:pPr>
            <w:r>
              <w:rPr>
                <w:sz w:val="24"/>
              </w:rPr>
              <w:t>C=O</w:t>
            </w:r>
          </w:p>
        </w:tc>
        <w:tc>
          <w:tcPr>
            <w:tcW w:w="4078" w:type="dxa"/>
          </w:tcPr>
          <w:p>
            <w:pPr>
              <w:pStyle w:val="TableParagraph"/>
              <w:spacing w:line="360" w:lineRule="auto"/>
              <w:ind w:right="262"/>
              <w:rPr>
                <w:sz w:val="24"/>
              </w:rPr>
            </w:pPr>
            <w:r>
              <w:rPr>
                <w:sz w:val="24"/>
              </w:rPr>
              <w:t>Aldehydes, ketones, esters, carboxylic acids</w:t>
            </w:r>
          </w:p>
        </w:tc>
        <w:tc>
          <w:tcPr>
            <w:tcW w:w="2376" w:type="dxa"/>
          </w:tcPr>
          <w:p>
            <w:pPr>
              <w:pStyle w:val="TableParagraph"/>
              <w:ind w:left="138" w:right="130"/>
              <w:jc w:val="center"/>
              <w:rPr>
                <w:sz w:val="24"/>
              </w:rPr>
            </w:pPr>
            <w:r>
              <w:rPr>
                <w:sz w:val="24"/>
              </w:rPr>
              <w:t>1750 – 1680</w:t>
            </w:r>
          </w:p>
        </w:tc>
      </w:tr>
      <w:tr>
        <w:trPr>
          <w:trHeight w:val="613" w:hRule="atLeast"/>
        </w:trPr>
        <w:tc>
          <w:tcPr>
            <w:tcW w:w="1872" w:type="dxa"/>
          </w:tcPr>
          <w:p>
            <w:pPr>
              <w:pStyle w:val="TableParagraph"/>
              <w:rPr>
                <w:sz w:val="24"/>
              </w:rPr>
            </w:pPr>
            <w:r>
              <w:rPr>
                <w:sz w:val="24"/>
              </w:rPr>
              <w:t>C=O</w:t>
            </w:r>
          </w:p>
        </w:tc>
        <w:tc>
          <w:tcPr>
            <w:tcW w:w="4078" w:type="dxa"/>
          </w:tcPr>
          <w:p>
            <w:pPr>
              <w:pStyle w:val="TableParagraph"/>
              <w:rPr>
                <w:sz w:val="24"/>
              </w:rPr>
            </w:pPr>
            <w:r>
              <w:rPr>
                <w:sz w:val="24"/>
              </w:rPr>
              <w:t>Amides</w:t>
            </w:r>
          </w:p>
        </w:tc>
        <w:tc>
          <w:tcPr>
            <w:tcW w:w="2376" w:type="dxa"/>
          </w:tcPr>
          <w:p>
            <w:pPr>
              <w:pStyle w:val="TableParagraph"/>
              <w:ind w:left="138" w:right="130"/>
              <w:jc w:val="center"/>
              <w:rPr>
                <w:sz w:val="24"/>
              </w:rPr>
            </w:pPr>
            <w:r>
              <w:rPr>
                <w:sz w:val="24"/>
              </w:rPr>
              <w:t>1680 – 1630</w:t>
            </w:r>
          </w:p>
        </w:tc>
      </w:tr>
      <w:tr>
        <w:trPr>
          <w:trHeight w:val="1029" w:hRule="atLeast"/>
        </w:trPr>
        <w:tc>
          <w:tcPr>
            <w:tcW w:w="1872" w:type="dxa"/>
          </w:tcPr>
          <w:p>
            <w:pPr>
              <w:pStyle w:val="TableParagraph"/>
              <w:rPr>
                <w:sz w:val="24"/>
              </w:rPr>
            </w:pPr>
            <w:r>
              <w:rPr>
                <w:sz w:val="24"/>
              </w:rPr>
              <w:t>N–H</w:t>
            </w:r>
          </w:p>
          <w:p>
            <w:pPr>
              <w:pStyle w:val="TableParagraph"/>
              <w:spacing w:line="240" w:lineRule="auto" w:before="139"/>
              <w:rPr>
                <w:sz w:val="24"/>
              </w:rPr>
            </w:pPr>
            <w:r>
              <w:rPr>
                <w:sz w:val="24"/>
              </w:rPr>
              <w:t>(Stretching)</w:t>
            </w:r>
          </w:p>
        </w:tc>
        <w:tc>
          <w:tcPr>
            <w:tcW w:w="4078" w:type="dxa"/>
          </w:tcPr>
          <w:p>
            <w:pPr>
              <w:pStyle w:val="TableParagraph"/>
              <w:rPr>
                <w:sz w:val="24"/>
              </w:rPr>
            </w:pPr>
            <w:r>
              <w:rPr>
                <w:sz w:val="24"/>
              </w:rPr>
              <w:t>Amines and amides</w:t>
            </w:r>
          </w:p>
        </w:tc>
        <w:tc>
          <w:tcPr>
            <w:tcW w:w="2376" w:type="dxa"/>
          </w:tcPr>
          <w:p>
            <w:pPr>
              <w:pStyle w:val="TableParagraph"/>
              <w:ind w:left="138" w:right="130"/>
              <w:jc w:val="center"/>
              <w:rPr>
                <w:sz w:val="24"/>
              </w:rPr>
            </w:pPr>
            <w:r>
              <w:rPr>
                <w:sz w:val="24"/>
              </w:rPr>
              <w:t>3500 – 3100</w:t>
            </w:r>
          </w:p>
        </w:tc>
      </w:tr>
      <w:tr>
        <w:trPr>
          <w:trHeight w:val="613" w:hRule="atLeast"/>
        </w:trPr>
        <w:tc>
          <w:tcPr>
            <w:tcW w:w="1872" w:type="dxa"/>
          </w:tcPr>
          <w:p>
            <w:pPr>
              <w:pStyle w:val="TableParagraph"/>
              <w:rPr>
                <w:sz w:val="24"/>
              </w:rPr>
            </w:pPr>
            <w:r>
              <w:rPr>
                <w:sz w:val="24"/>
              </w:rPr>
              <w:t>–N–H (Bending)</w:t>
            </w:r>
          </w:p>
        </w:tc>
        <w:tc>
          <w:tcPr>
            <w:tcW w:w="4078" w:type="dxa"/>
          </w:tcPr>
          <w:p>
            <w:pPr>
              <w:pStyle w:val="TableParagraph"/>
              <w:rPr>
                <w:sz w:val="24"/>
              </w:rPr>
            </w:pPr>
            <w:r>
              <w:rPr>
                <w:sz w:val="24"/>
              </w:rPr>
              <w:t>Amines and amides</w:t>
            </w:r>
          </w:p>
        </w:tc>
        <w:tc>
          <w:tcPr>
            <w:tcW w:w="2376" w:type="dxa"/>
          </w:tcPr>
          <w:p>
            <w:pPr>
              <w:pStyle w:val="TableParagraph"/>
              <w:ind w:left="138" w:right="130"/>
              <w:jc w:val="center"/>
              <w:rPr>
                <w:sz w:val="24"/>
              </w:rPr>
            </w:pPr>
            <w:r>
              <w:rPr>
                <w:sz w:val="24"/>
              </w:rPr>
              <w:t>1640 – 1550</w:t>
            </w:r>
          </w:p>
        </w:tc>
      </w:tr>
      <w:tr>
        <w:trPr>
          <w:trHeight w:val="613" w:hRule="atLeast"/>
        </w:trPr>
        <w:tc>
          <w:tcPr>
            <w:tcW w:w="1872" w:type="dxa"/>
          </w:tcPr>
          <w:p>
            <w:pPr>
              <w:pStyle w:val="TableParagraph"/>
              <w:rPr>
                <w:sz w:val="24"/>
              </w:rPr>
            </w:pPr>
            <w:r>
              <w:rPr>
                <w:sz w:val="24"/>
              </w:rPr>
              <w:t>O–H</w:t>
            </w:r>
          </w:p>
        </w:tc>
        <w:tc>
          <w:tcPr>
            <w:tcW w:w="4078" w:type="dxa"/>
          </w:tcPr>
          <w:p>
            <w:pPr>
              <w:pStyle w:val="TableParagraph"/>
              <w:rPr>
                <w:sz w:val="24"/>
              </w:rPr>
            </w:pPr>
            <w:r>
              <w:rPr>
                <w:sz w:val="24"/>
              </w:rPr>
              <w:t>Alcohols</w:t>
            </w:r>
          </w:p>
        </w:tc>
        <w:tc>
          <w:tcPr>
            <w:tcW w:w="2376" w:type="dxa"/>
          </w:tcPr>
          <w:p>
            <w:pPr>
              <w:pStyle w:val="TableParagraph"/>
              <w:ind w:left="138" w:right="130"/>
              <w:jc w:val="center"/>
              <w:rPr>
                <w:sz w:val="24"/>
              </w:rPr>
            </w:pPr>
            <w:r>
              <w:rPr>
                <w:sz w:val="24"/>
              </w:rPr>
              <w:t>3650 – 3200</w:t>
            </w:r>
          </w:p>
        </w:tc>
      </w:tr>
      <w:tr>
        <w:trPr>
          <w:trHeight w:val="614" w:hRule="atLeast"/>
        </w:trPr>
        <w:tc>
          <w:tcPr>
            <w:tcW w:w="1872" w:type="dxa"/>
          </w:tcPr>
          <w:p>
            <w:pPr>
              <w:pStyle w:val="TableParagraph"/>
              <w:rPr>
                <w:sz w:val="24"/>
              </w:rPr>
            </w:pPr>
            <w:r>
              <w:rPr>
                <w:sz w:val="24"/>
              </w:rPr>
              <w:t>C–N</w:t>
            </w:r>
          </w:p>
        </w:tc>
        <w:tc>
          <w:tcPr>
            <w:tcW w:w="4078" w:type="dxa"/>
          </w:tcPr>
          <w:p>
            <w:pPr>
              <w:pStyle w:val="TableParagraph"/>
              <w:rPr>
                <w:sz w:val="24"/>
              </w:rPr>
            </w:pPr>
            <w:r>
              <w:rPr>
                <w:sz w:val="24"/>
              </w:rPr>
              <w:t>Amines</w:t>
            </w:r>
          </w:p>
        </w:tc>
        <w:tc>
          <w:tcPr>
            <w:tcW w:w="2376" w:type="dxa"/>
          </w:tcPr>
          <w:p>
            <w:pPr>
              <w:pStyle w:val="TableParagraph"/>
              <w:ind w:left="138" w:right="130"/>
              <w:jc w:val="center"/>
              <w:rPr>
                <w:sz w:val="24"/>
              </w:rPr>
            </w:pPr>
            <w:r>
              <w:rPr>
                <w:sz w:val="24"/>
              </w:rPr>
              <w:t>1350 – 1000</w:t>
            </w:r>
          </w:p>
        </w:tc>
      </w:tr>
      <w:tr>
        <w:trPr>
          <w:trHeight w:val="613" w:hRule="atLeast"/>
        </w:trPr>
        <w:tc>
          <w:tcPr>
            <w:tcW w:w="1872" w:type="dxa"/>
          </w:tcPr>
          <w:p>
            <w:pPr>
              <w:pStyle w:val="TableParagraph"/>
              <w:rPr>
                <w:sz w:val="24"/>
              </w:rPr>
            </w:pPr>
            <w:r>
              <w:rPr>
                <w:sz w:val="24"/>
              </w:rPr>
              <w:t>S–H</w:t>
            </w:r>
          </w:p>
        </w:tc>
        <w:tc>
          <w:tcPr>
            <w:tcW w:w="4078" w:type="dxa"/>
          </w:tcPr>
          <w:p>
            <w:pPr>
              <w:pStyle w:val="TableParagraph"/>
              <w:rPr>
                <w:sz w:val="24"/>
              </w:rPr>
            </w:pPr>
            <w:r>
              <w:rPr>
                <w:sz w:val="24"/>
              </w:rPr>
              <w:t>Mercaptans</w:t>
            </w:r>
          </w:p>
        </w:tc>
        <w:tc>
          <w:tcPr>
            <w:tcW w:w="2376" w:type="dxa"/>
          </w:tcPr>
          <w:p>
            <w:pPr>
              <w:pStyle w:val="TableParagraph"/>
              <w:ind w:left="138" w:right="130"/>
              <w:jc w:val="center"/>
              <w:rPr>
                <w:sz w:val="24"/>
              </w:rPr>
            </w:pPr>
            <w:r>
              <w:rPr>
                <w:sz w:val="24"/>
              </w:rPr>
              <w:t>2550</w:t>
            </w:r>
          </w:p>
        </w:tc>
      </w:tr>
    </w:tbl>
    <w:p>
      <w:pPr>
        <w:pStyle w:val="BodyText"/>
        <w:spacing w:before="4"/>
        <w:rPr>
          <w:sz w:val="35"/>
        </w:rPr>
      </w:pPr>
    </w:p>
    <w:p>
      <w:pPr>
        <w:pStyle w:val="BodyText"/>
        <w:spacing w:line="360" w:lineRule="auto"/>
        <w:ind w:left="299" w:right="316"/>
        <w:jc w:val="both"/>
      </w:pPr>
      <w:r>
        <w:rPr/>
        <w:t>The absorption bands in the 4000 – 1500 cm</w:t>
      </w:r>
      <w:r>
        <w:rPr>
          <w:vertAlign w:val="superscript"/>
        </w:rPr>
        <w:t>-1</w:t>
      </w:r>
      <w:r>
        <w:rPr>
          <w:vertAlign w:val="baseline"/>
        </w:rPr>
        <w:t> region help in the identification of functional groups; this region therefore is also termed the functional group region of the </w:t>
      </w:r>
      <w:r>
        <w:rPr>
          <w:spacing w:val="-3"/>
          <w:vertAlign w:val="baseline"/>
        </w:rPr>
        <w:t>IR </w:t>
      </w:r>
      <w:r>
        <w:rPr>
          <w:vertAlign w:val="baseline"/>
        </w:rPr>
        <w:t>spectrum (Figure 10.6). The lower energy portion of the mid-IR region (1500 – 400 cm</w:t>
      </w:r>
      <w:r>
        <w:rPr>
          <w:vertAlign w:val="superscript"/>
        </w:rPr>
        <w:t>-1</w:t>
      </w:r>
      <w:r>
        <w:rPr>
          <w:vertAlign w:val="baseline"/>
        </w:rPr>
        <w:t>) usually contains a very complicated set of peaks arising due to complex vibrations involving several atoms. This region is unique to a particular compound and therefore is known as the fingerprint region of the </w:t>
      </w:r>
      <w:r>
        <w:rPr>
          <w:spacing w:val="-3"/>
          <w:vertAlign w:val="baseline"/>
        </w:rPr>
        <w:t>IR </w:t>
      </w:r>
      <w:r>
        <w:rPr>
          <w:vertAlign w:val="baseline"/>
        </w:rPr>
        <w:t>spectrum. Though it</w:t>
      </w:r>
      <w:r>
        <w:rPr>
          <w:spacing w:val="-11"/>
          <w:vertAlign w:val="baseline"/>
        </w:rPr>
        <w:t> </w:t>
      </w:r>
      <w:r>
        <w:rPr>
          <w:vertAlign w:val="baseline"/>
        </w:rPr>
        <w:t>is</w:t>
      </w:r>
    </w:p>
    <w:p>
      <w:pPr>
        <w:spacing w:after="0" w:line="360" w:lineRule="auto"/>
        <w:jc w:val="both"/>
        <w:sectPr>
          <w:pgSz w:w="11910" w:h="16840"/>
          <w:pgMar w:header="722" w:footer="748" w:top="1300" w:bottom="940" w:left="1500" w:right="1480"/>
        </w:sectPr>
      </w:pPr>
    </w:p>
    <w:p>
      <w:pPr>
        <w:pStyle w:val="BodyText"/>
        <w:spacing w:line="360" w:lineRule="auto" w:before="119"/>
        <w:ind w:left="299"/>
      </w:pPr>
      <w:r>
        <w:rPr/>
        <w:t>difficult to assign the vibrational modes to these peaks, these are useful to identify a compound if the spectrum of the compound is already known.</w:t>
      </w:r>
    </w:p>
    <w:p>
      <w:pPr>
        <w:pStyle w:val="BodyText"/>
        <w:spacing w:before="11"/>
        <w:rPr>
          <w:sz w:val="15"/>
        </w:rPr>
      </w:pPr>
      <w:r>
        <w:rPr/>
        <w:drawing>
          <wp:anchor distT="0" distB="0" distL="0" distR="0" allowOverlap="1" layoutInCell="1" locked="0" behindDoc="0" simplePos="0" relativeHeight="147">
            <wp:simplePos x="0" y="0"/>
            <wp:positionH relativeFrom="page">
              <wp:posOffset>2239917</wp:posOffset>
            </wp:positionH>
            <wp:positionV relativeFrom="paragraph">
              <wp:posOffset>141471</wp:posOffset>
            </wp:positionV>
            <wp:extent cx="3254381" cy="2942081"/>
            <wp:effectExtent l="0" t="0" r="0" b="0"/>
            <wp:wrapTopAndBottom/>
            <wp:docPr id="117" name="image62.png" descr="Figure 10.6.tif"/>
            <wp:cNvGraphicFramePr>
              <a:graphicFrameLocks noChangeAspect="1"/>
            </wp:cNvGraphicFramePr>
            <a:graphic>
              <a:graphicData uri="http://schemas.openxmlformats.org/drawingml/2006/picture">
                <pic:pic>
                  <pic:nvPicPr>
                    <pic:cNvPr id="118" name="image62.png"/>
                    <pic:cNvPicPr/>
                  </pic:nvPicPr>
                  <pic:blipFill>
                    <a:blip r:embed="rId70" cstate="print"/>
                    <a:stretch>
                      <a:fillRect/>
                    </a:stretch>
                  </pic:blipFill>
                  <pic:spPr>
                    <a:xfrm>
                      <a:off x="0" y="0"/>
                      <a:ext cx="3254381" cy="2942081"/>
                    </a:xfrm>
                    <a:prstGeom prst="rect">
                      <a:avLst/>
                    </a:prstGeom>
                  </pic:spPr>
                </pic:pic>
              </a:graphicData>
            </a:graphic>
          </wp:anchor>
        </w:drawing>
      </w:r>
    </w:p>
    <w:p>
      <w:pPr>
        <w:pStyle w:val="BodyText"/>
        <w:spacing w:before="9"/>
      </w:pPr>
    </w:p>
    <w:p>
      <w:pPr>
        <w:spacing w:before="0"/>
        <w:ind w:left="792" w:right="617" w:firstLine="0"/>
        <w:jc w:val="center"/>
        <w:rPr>
          <w:b/>
          <w:sz w:val="16"/>
        </w:rPr>
      </w:pPr>
      <w:r>
        <w:rPr>
          <w:b/>
          <w:sz w:val="16"/>
        </w:rPr>
        <w:t>Figure 10.6. A typical IR spectrum showing functional group and fingerprint regions</w:t>
      </w:r>
    </w:p>
    <w:p>
      <w:pPr>
        <w:pStyle w:val="BodyText"/>
        <w:spacing w:before="4"/>
        <w:rPr>
          <w:b/>
          <w:sz w:val="25"/>
        </w:rPr>
      </w:pPr>
    </w:p>
    <w:p>
      <w:pPr>
        <w:pStyle w:val="Heading4"/>
        <w:jc w:val="left"/>
      </w:pPr>
      <w:r>
        <w:rPr/>
        <w:t>Applications</w:t>
      </w:r>
    </w:p>
    <w:p>
      <w:pPr>
        <w:pStyle w:val="BodyText"/>
        <w:rPr>
          <w:b/>
          <w:sz w:val="29"/>
        </w:rPr>
      </w:pPr>
    </w:p>
    <w:p>
      <w:pPr>
        <w:pStyle w:val="ListParagraph"/>
        <w:numPr>
          <w:ilvl w:val="0"/>
          <w:numId w:val="13"/>
        </w:numPr>
        <w:tabs>
          <w:tab w:pos="1020" w:val="left" w:leader="none"/>
        </w:tabs>
        <w:spacing w:line="360" w:lineRule="auto" w:before="0" w:after="0"/>
        <w:ind w:left="1019" w:right="315" w:hanging="488"/>
        <w:jc w:val="both"/>
        <w:rPr>
          <w:sz w:val="24"/>
        </w:rPr>
      </w:pPr>
      <w:r>
        <w:rPr>
          <w:i/>
          <w:sz w:val="24"/>
        </w:rPr>
        <w:t>Identification of functional groups: </w:t>
      </w:r>
      <w:r>
        <w:rPr>
          <w:sz w:val="24"/>
        </w:rPr>
        <w:t>As has already been discussed, </w:t>
      </w:r>
      <w:r>
        <w:rPr>
          <w:spacing w:val="-6"/>
          <w:sz w:val="24"/>
        </w:rPr>
        <w:t>IR </w:t>
      </w:r>
      <w:r>
        <w:rPr>
          <w:sz w:val="24"/>
        </w:rPr>
        <w:t>spectroscopy allows identification of functional groups. Carbonyl (C=O) is an interesting functional group worth discussing. Carbonyl is a double bond (high spring constant, </w:t>
      </w:r>
      <w:r>
        <w:rPr>
          <w:i/>
          <w:sz w:val="24"/>
        </w:rPr>
        <w:t>k</w:t>
      </w:r>
      <w:r>
        <w:rPr>
          <w:sz w:val="24"/>
        </w:rPr>
        <w:t>) with very high polarity. Stretching vibration of carbonyl group causes large changes in the dipole moment consequently resulting in a very intense absorption band. Furthermore, the frequency of carbonyl stretching does not differ significantly for aldehydes, ketone, carboxylic acids, and esters (Table 10.1). The large intensity and relatively unchanged frequency of carbonyl stretching allows easy identification of the carbonyl compounds (It is important to note that carbonyl stretching frequency can be much lower for amides and much higher for anhydrides and acid</w:t>
      </w:r>
      <w:r>
        <w:rPr>
          <w:spacing w:val="-11"/>
          <w:sz w:val="24"/>
        </w:rPr>
        <w:t> </w:t>
      </w:r>
      <w:r>
        <w:rPr>
          <w:sz w:val="24"/>
        </w:rPr>
        <w:t>chlorides).</w:t>
      </w:r>
    </w:p>
    <w:p>
      <w:pPr>
        <w:pStyle w:val="ListParagraph"/>
        <w:numPr>
          <w:ilvl w:val="0"/>
          <w:numId w:val="13"/>
        </w:numPr>
        <w:tabs>
          <w:tab w:pos="1020" w:val="left" w:leader="none"/>
        </w:tabs>
        <w:spacing w:line="360" w:lineRule="auto" w:before="201" w:after="0"/>
        <w:ind w:left="1020" w:right="315" w:hanging="555"/>
        <w:jc w:val="both"/>
        <w:rPr>
          <w:sz w:val="24"/>
        </w:rPr>
      </w:pPr>
      <w:r>
        <w:rPr>
          <w:i/>
          <w:sz w:val="24"/>
        </w:rPr>
        <w:t>Identification of compounds: </w:t>
      </w:r>
      <w:r>
        <w:rPr>
          <w:sz w:val="24"/>
        </w:rPr>
        <w:t>The fingerprint region of the </w:t>
      </w:r>
      <w:r>
        <w:rPr>
          <w:spacing w:val="-3"/>
          <w:sz w:val="24"/>
        </w:rPr>
        <w:t>IR </w:t>
      </w:r>
      <w:r>
        <w:rPr>
          <w:sz w:val="24"/>
        </w:rPr>
        <w:t>spectrum is unique to each compound. </w:t>
      </w:r>
      <w:r>
        <w:rPr>
          <w:spacing w:val="-3"/>
          <w:sz w:val="24"/>
        </w:rPr>
        <w:t>It </w:t>
      </w:r>
      <w:r>
        <w:rPr>
          <w:sz w:val="24"/>
        </w:rPr>
        <w:t>is possible to identify a compound from its </w:t>
      </w:r>
      <w:r>
        <w:rPr>
          <w:spacing w:val="-3"/>
          <w:sz w:val="24"/>
        </w:rPr>
        <w:t>IR </w:t>
      </w:r>
      <w:r>
        <w:rPr>
          <w:sz w:val="24"/>
        </w:rPr>
        <w:t>spectrum if the spectrum for the compound is already known and available for comparison. This is particularly useful in pharmaceutical research and development. A patented drug, if suspected to be synthesized by</w:t>
      </w:r>
      <w:r>
        <w:rPr>
          <w:spacing w:val="11"/>
          <w:sz w:val="24"/>
        </w:rPr>
        <w:t> </w:t>
      </w:r>
      <w:r>
        <w:rPr>
          <w:sz w:val="24"/>
        </w:rPr>
        <w:t>another</w:t>
      </w:r>
    </w:p>
    <w:p>
      <w:pPr>
        <w:spacing w:after="0" w:line="360" w:lineRule="auto"/>
        <w:jc w:val="both"/>
        <w:rPr>
          <w:sz w:val="24"/>
        </w:rPr>
        <w:sectPr>
          <w:pgSz w:w="11910" w:h="16840"/>
          <w:pgMar w:header="722" w:footer="748" w:top="1300" w:bottom="940" w:left="1500" w:right="1480"/>
        </w:sectPr>
      </w:pPr>
    </w:p>
    <w:p>
      <w:pPr>
        <w:pStyle w:val="BodyText"/>
        <w:spacing w:line="360" w:lineRule="auto" w:before="119"/>
        <w:ind w:left="1020" w:right="317"/>
        <w:jc w:val="both"/>
      </w:pPr>
      <w:r>
        <w:rPr/>
        <w:t>pharmaceutical company, can easily be identified by comparing the IR spectra in the fingerprint region.</w:t>
      </w:r>
    </w:p>
    <w:p>
      <w:pPr>
        <w:pStyle w:val="ListParagraph"/>
        <w:numPr>
          <w:ilvl w:val="0"/>
          <w:numId w:val="13"/>
        </w:numPr>
        <w:tabs>
          <w:tab w:pos="1020" w:val="left" w:leader="none"/>
        </w:tabs>
        <w:spacing w:line="360" w:lineRule="auto" w:before="200" w:after="0"/>
        <w:ind w:left="1020" w:right="315" w:hanging="620"/>
        <w:jc w:val="both"/>
        <w:rPr>
          <w:sz w:val="24"/>
        </w:rPr>
      </w:pPr>
      <w:r>
        <w:rPr>
          <w:i/>
          <w:sz w:val="24"/>
        </w:rPr>
        <w:t>Presence of impurities: </w:t>
      </w:r>
      <w:r>
        <w:rPr>
          <w:sz w:val="24"/>
        </w:rPr>
        <w:t>Comparison of the </w:t>
      </w:r>
      <w:r>
        <w:rPr>
          <w:spacing w:val="-3"/>
          <w:sz w:val="24"/>
        </w:rPr>
        <w:t>IR </w:t>
      </w:r>
      <w:r>
        <w:rPr>
          <w:sz w:val="24"/>
        </w:rPr>
        <w:t>spectra of the given compound with the spectra of pure compound helps in the assessment of its purity. It is important to ascertain the purity of the active molecule and the excipients used in preparing drug</w:t>
      </w:r>
      <w:r>
        <w:rPr>
          <w:spacing w:val="-4"/>
          <w:sz w:val="24"/>
        </w:rPr>
        <w:t> </w:t>
      </w:r>
      <w:r>
        <w:rPr>
          <w:sz w:val="24"/>
        </w:rPr>
        <w:t>formulations.</w:t>
      </w:r>
    </w:p>
    <w:p>
      <w:pPr>
        <w:pStyle w:val="ListParagraph"/>
        <w:numPr>
          <w:ilvl w:val="0"/>
          <w:numId w:val="13"/>
        </w:numPr>
        <w:tabs>
          <w:tab w:pos="1020" w:val="left" w:leader="none"/>
        </w:tabs>
        <w:spacing w:line="360" w:lineRule="auto" w:before="201" w:after="0"/>
        <w:ind w:left="1019" w:right="314" w:hanging="608"/>
        <w:jc w:val="both"/>
        <w:rPr>
          <w:sz w:val="24"/>
        </w:rPr>
      </w:pPr>
      <w:r>
        <w:rPr>
          <w:i/>
          <w:sz w:val="24"/>
        </w:rPr>
        <w:t>Structural transitions in lipids: </w:t>
      </w:r>
      <w:r>
        <w:rPr>
          <w:sz w:val="24"/>
        </w:rPr>
        <w:t>Structural lipids are those that are organized in bilayers in biological membranes. Glycerophospholipids constitute the major class of the structural lipids (Figure 10.7). The lipids have several structural phases such as a gel phase with all-</w:t>
      </w:r>
      <w:r>
        <w:rPr>
          <w:i/>
          <w:sz w:val="24"/>
        </w:rPr>
        <w:t>trans </w:t>
      </w:r>
      <w:r>
        <w:rPr>
          <w:sz w:val="24"/>
        </w:rPr>
        <w:t>conformation and a liquid crystalline phase where </w:t>
      </w:r>
      <w:r>
        <w:rPr>
          <w:i/>
          <w:sz w:val="24"/>
        </w:rPr>
        <w:t>gauche </w:t>
      </w:r>
      <w:r>
        <w:rPr>
          <w:sz w:val="24"/>
        </w:rPr>
        <w:t>conformations are also present. Methylene (–CH</w:t>
      </w:r>
      <w:r>
        <w:rPr>
          <w:sz w:val="24"/>
          <w:vertAlign w:val="subscript"/>
        </w:rPr>
        <w:t>2</w:t>
      </w:r>
      <w:r>
        <w:rPr>
          <w:sz w:val="24"/>
          <w:vertAlign w:val="baseline"/>
        </w:rPr>
        <w:t>–) stretching vibrations give the most intense absorption band in lipids as expected for a molecule having long hydrocarbon</w:t>
      </w:r>
      <w:r>
        <w:rPr>
          <w:spacing w:val="-7"/>
          <w:sz w:val="24"/>
          <w:vertAlign w:val="baseline"/>
        </w:rPr>
        <w:t> </w:t>
      </w:r>
      <w:r>
        <w:rPr>
          <w:sz w:val="24"/>
          <w:vertAlign w:val="baseline"/>
        </w:rPr>
        <w:t>chains.</w:t>
      </w:r>
    </w:p>
    <w:p>
      <w:pPr>
        <w:pStyle w:val="BodyText"/>
        <w:rPr>
          <w:sz w:val="18"/>
        </w:rPr>
      </w:pPr>
      <w:r>
        <w:rPr/>
        <w:drawing>
          <wp:anchor distT="0" distB="0" distL="0" distR="0" allowOverlap="1" layoutInCell="1" locked="0" behindDoc="0" simplePos="0" relativeHeight="148">
            <wp:simplePos x="0" y="0"/>
            <wp:positionH relativeFrom="page">
              <wp:posOffset>1574584</wp:posOffset>
            </wp:positionH>
            <wp:positionV relativeFrom="paragraph">
              <wp:posOffset>156748</wp:posOffset>
            </wp:positionV>
            <wp:extent cx="4544501" cy="3401567"/>
            <wp:effectExtent l="0" t="0" r="0" b="0"/>
            <wp:wrapTopAndBottom/>
            <wp:docPr id="119" name="image63.png" descr="Figure 10.7.tif"/>
            <wp:cNvGraphicFramePr>
              <a:graphicFrameLocks noChangeAspect="1"/>
            </wp:cNvGraphicFramePr>
            <a:graphic>
              <a:graphicData uri="http://schemas.openxmlformats.org/drawingml/2006/picture">
                <pic:pic>
                  <pic:nvPicPr>
                    <pic:cNvPr id="120" name="image63.png"/>
                    <pic:cNvPicPr/>
                  </pic:nvPicPr>
                  <pic:blipFill>
                    <a:blip r:embed="rId71" cstate="print"/>
                    <a:stretch>
                      <a:fillRect/>
                    </a:stretch>
                  </pic:blipFill>
                  <pic:spPr>
                    <a:xfrm>
                      <a:off x="0" y="0"/>
                      <a:ext cx="4544501" cy="3401567"/>
                    </a:xfrm>
                    <a:prstGeom prst="rect">
                      <a:avLst/>
                    </a:prstGeom>
                  </pic:spPr>
                </pic:pic>
              </a:graphicData>
            </a:graphic>
          </wp:anchor>
        </w:drawing>
      </w:r>
    </w:p>
    <w:p>
      <w:pPr>
        <w:pStyle w:val="BodyText"/>
        <w:spacing w:before="10"/>
        <w:rPr>
          <w:sz w:val="26"/>
        </w:rPr>
      </w:pPr>
    </w:p>
    <w:p>
      <w:pPr>
        <w:spacing w:line="362" w:lineRule="auto" w:before="0"/>
        <w:ind w:left="496" w:right="311" w:firstLine="0"/>
        <w:jc w:val="left"/>
        <w:rPr>
          <w:b/>
          <w:sz w:val="16"/>
        </w:rPr>
      </w:pPr>
      <w:r>
        <w:rPr>
          <w:b/>
          <w:sz w:val="16"/>
        </w:rPr>
        <w:t>Figure 10.7. Structure of a glycerophospholipid: all-</w:t>
      </w:r>
      <w:r>
        <w:rPr>
          <w:b/>
          <w:i/>
          <w:sz w:val="16"/>
        </w:rPr>
        <w:t>trans </w:t>
      </w:r>
      <w:r>
        <w:rPr>
          <w:b/>
          <w:sz w:val="16"/>
        </w:rPr>
        <w:t>conformation (A); lipid with </w:t>
      </w:r>
      <w:r>
        <w:rPr>
          <w:b/>
          <w:i/>
          <w:sz w:val="16"/>
        </w:rPr>
        <w:t>trans </w:t>
      </w:r>
      <w:r>
        <w:rPr>
          <w:b/>
          <w:sz w:val="16"/>
        </w:rPr>
        <w:t>and </w:t>
      </w:r>
      <w:r>
        <w:rPr>
          <w:b/>
          <w:i/>
          <w:sz w:val="16"/>
        </w:rPr>
        <w:t>gauche </w:t>
      </w:r>
      <w:r>
        <w:rPr>
          <w:b/>
          <w:sz w:val="16"/>
        </w:rPr>
        <w:t>conformations (B), </w:t>
      </w:r>
      <w:r>
        <w:rPr>
          <w:b/>
          <w:i/>
          <w:sz w:val="16"/>
        </w:rPr>
        <w:t>gauche </w:t>
      </w:r>
      <w:r>
        <w:rPr>
          <w:b/>
          <w:sz w:val="16"/>
        </w:rPr>
        <w:t>conformations are indicated with arrows</w:t>
      </w:r>
    </w:p>
    <w:p>
      <w:pPr>
        <w:spacing w:after="0" w:line="362" w:lineRule="auto"/>
        <w:jc w:val="left"/>
        <w:rPr>
          <w:sz w:val="16"/>
        </w:rPr>
        <w:sectPr>
          <w:pgSz w:w="11910" w:h="16840"/>
          <w:pgMar w:header="722" w:footer="748" w:top="1300" w:bottom="940" w:left="1500" w:right="1480"/>
        </w:sectPr>
      </w:pPr>
    </w:p>
    <w:p>
      <w:pPr>
        <w:pStyle w:val="BodyText"/>
        <w:spacing w:line="360" w:lineRule="auto" w:before="119"/>
        <w:ind w:left="1019" w:right="314"/>
        <w:jc w:val="both"/>
      </w:pPr>
      <w:r>
        <w:rPr/>
        <w:t>Both –CH</w:t>
      </w:r>
      <w:r>
        <w:rPr>
          <w:vertAlign w:val="subscript"/>
        </w:rPr>
        <w:t>2</w:t>
      </w:r>
      <w:r>
        <w:rPr>
          <w:vertAlign w:val="baseline"/>
        </w:rPr>
        <w:t>– stretching and bending vibrations are sensitive to the conformations of the lipids and therefore provide information about the transition of lipids between different phases. Vibration modes of the head group and the interfacial region also provide useful information about local acyl chain conformation. Carbonyl stretching vibration (1750 – 1700 cm</w:t>
      </w:r>
      <w:r>
        <w:rPr>
          <w:vertAlign w:val="superscript"/>
        </w:rPr>
        <w:t>-1</w:t>
      </w:r>
      <w:r>
        <w:rPr>
          <w:vertAlign w:val="baseline"/>
        </w:rPr>
        <w:t>) in the ester bond is sensitive to the conformation of the local acyl chain conformation.</w:t>
      </w:r>
    </w:p>
    <w:p>
      <w:pPr>
        <w:pStyle w:val="ListParagraph"/>
        <w:numPr>
          <w:ilvl w:val="0"/>
          <w:numId w:val="13"/>
        </w:numPr>
        <w:tabs>
          <w:tab w:pos="1020" w:val="left" w:leader="none"/>
        </w:tabs>
        <w:spacing w:line="360" w:lineRule="auto" w:before="201" w:after="0"/>
        <w:ind w:left="1019" w:right="315" w:hanging="540"/>
        <w:jc w:val="both"/>
        <w:rPr>
          <w:sz w:val="24"/>
        </w:rPr>
      </w:pPr>
      <w:r>
        <w:rPr>
          <w:i/>
          <w:sz w:val="24"/>
        </w:rPr>
        <w:t>Protein and peptide structure: </w:t>
      </w:r>
      <w:r>
        <w:rPr>
          <w:sz w:val="24"/>
        </w:rPr>
        <w:t>Infrared spectroscopy is routinely used to study the structures of proteins and peptides. Like CD spectroscopy, the region of interest in determining the conformation of the polypeptide backbone is the peptide bond. The peptide group results in nine distinct bands, labeled as amide A, B, and I-VII. Amide I is the most useful band in studying the polypeptide backbone conformation. Amide I band (1700 – 1600 cm</w:t>
      </w:r>
      <w:r>
        <w:rPr>
          <w:sz w:val="24"/>
          <w:vertAlign w:val="superscript"/>
        </w:rPr>
        <w:t>-1</w:t>
      </w:r>
      <w:r>
        <w:rPr>
          <w:sz w:val="24"/>
          <w:vertAlign w:val="baseline"/>
        </w:rPr>
        <w:t>) arises largely due to the carbonyl stretching with small components of C–N stretching and N–H bending. The frequency of carbonyl stretching vibration is sensitive to the H-bonding, and therefore to the conformation of polypeptide backbone. The frequencies of absorption of different secondary structural elements are shown in Table</w:t>
      </w:r>
      <w:r>
        <w:rPr>
          <w:spacing w:val="-3"/>
          <w:sz w:val="24"/>
          <w:vertAlign w:val="baseline"/>
        </w:rPr>
        <w:t> </w:t>
      </w:r>
      <w:r>
        <w:rPr>
          <w:sz w:val="24"/>
          <w:vertAlign w:val="baseline"/>
        </w:rPr>
        <w:t>10.2</w:t>
      </w:r>
    </w:p>
    <w:p>
      <w:pPr>
        <w:pStyle w:val="BodyText"/>
        <w:spacing w:before="8" w:after="1"/>
        <w:rPr>
          <w:sz w:val="17"/>
        </w:rPr>
      </w:pPr>
    </w:p>
    <w:tbl>
      <w:tblPr>
        <w:tblW w:w="0" w:type="auto"/>
        <w:jc w:val="left"/>
        <w:tblInd w:w="11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634"/>
        <w:gridCol w:w="3970"/>
      </w:tblGrid>
      <w:tr>
        <w:trPr>
          <w:trHeight w:val="477" w:hRule="atLeast"/>
        </w:trPr>
        <w:tc>
          <w:tcPr>
            <w:tcW w:w="7604" w:type="dxa"/>
            <w:gridSpan w:val="2"/>
          </w:tcPr>
          <w:p>
            <w:pPr>
              <w:pStyle w:val="TableParagraph"/>
              <w:spacing w:line="240" w:lineRule="auto" w:before="1"/>
              <w:ind w:left="715"/>
              <w:rPr>
                <w:b/>
                <w:sz w:val="16"/>
              </w:rPr>
            </w:pPr>
            <w:r>
              <w:rPr>
                <w:b/>
                <w:position w:val="2"/>
                <w:sz w:val="16"/>
              </w:rPr>
              <w:t>Table 10.2 Vibrational frequencies of the secondary structural elements of proteins in H</w:t>
            </w:r>
            <w:r>
              <w:rPr>
                <w:b/>
                <w:sz w:val="10"/>
              </w:rPr>
              <w:t>2</w:t>
            </w:r>
            <w:r>
              <w:rPr>
                <w:b/>
                <w:position w:val="2"/>
                <w:sz w:val="16"/>
              </w:rPr>
              <w:t>O</w:t>
            </w:r>
          </w:p>
        </w:tc>
      </w:tr>
      <w:tr>
        <w:trPr>
          <w:trHeight w:val="614" w:hRule="atLeast"/>
        </w:trPr>
        <w:tc>
          <w:tcPr>
            <w:tcW w:w="3634" w:type="dxa"/>
          </w:tcPr>
          <w:p>
            <w:pPr>
              <w:pStyle w:val="TableParagraph"/>
              <w:spacing w:line="275" w:lineRule="exact"/>
              <w:ind w:left="842" w:right="838"/>
              <w:jc w:val="center"/>
              <w:rPr>
                <w:b/>
                <w:sz w:val="24"/>
              </w:rPr>
            </w:pPr>
            <w:r>
              <w:rPr>
                <w:b/>
                <w:sz w:val="24"/>
              </w:rPr>
              <w:t>Structure</w:t>
            </w:r>
          </w:p>
        </w:tc>
        <w:tc>
          <w:tcPr>
            <w:tcW w:w="3970" w:type="dxa"/>
          </w:tcPr>
          <w:p>
            <w:pPr>
              <w:pStyle w:val="TableParagraph"/>
              <w:spacing w:line="275" w:lineRule="exact"/>
              <w:ind w:left="936" w:right="927"/>
              <w:jc w:val="center"/>
              <w:rPr>
                <w:b/>
                <w:sz w:val="24"/>
              </w:rPr>
            </w:pPr>
            <w:r>
              <w:rPr>
                <w:b/>
                <w:sz w:val="24"/>
              </w:rPr>
              <w:t>Wavenumber (cm</w:t>
            </w:r>
            <w:r>
              <w:rPr>
                <w:b/>
                <w:sz w:val="24"/>
                <w:vertAlign w:val="superscript"/>
              </w:rPr>
              <w:t>-1</w:t>
            </w:r>
            <w:r>
              <w:rPr>
                <w:b/>
                <w:sz w:val="24"/>
                <w:vertAlign w:val="baseline"/>
              </w:rPr>
              <w:t>)</w:t>
            </w:r>
          </w:p>
        </w:tc>
      </w:tr>
      <w:tr>
        <w:trPr>
          <w:trHeight w:val="613" w:hRule="atLeast"/>
        </w:trPr>
        <w:tc>
          <w:tcPr>
            <w:tcW w:w="3634" w:type="dxa"/>
          </w:tcPr>
          <w:p>
            <w:pPr>
              <w:pStyle w:val="TableParagraph"/>
              <w:ind w:left="842" w:right="840"/>
              <w:jc w:val="center"/>
              <w:rPr>
                <w:sz w:val="24"/>
              </w:rPr>
            </w:pPr>
            <w:r>
              <w:rPr>
                <w:sz w:val="24"/>
              </w:rPr>
              <w:t>α-helix</w:t>
            </w:r>
          </w:p>
        </w:tc>
        <w:tc>
          <w:tcPr>
            <w:tcW w:w="3970" w:type="dxa"/>
          </w:tcPr>
          <w:p>
            <w:pPr>
              <w:pStyle w:val="TableParagraph"/>
              <w:ind w:left="935" w:right="927"/>
              <w:jc w:val="center"/>
              <w:rPr>
                <w:sz w:val="24"/>
              </w:rPr>
            </w:pPr>
            <w:r>
              <w:rPr>
                <w:sz w:val="24"/>
              </w:rPr>
              <w:t>1657 – 1648</w:t>
            </w:r>
          </w:p>
        </w:tc>
      </w:tr>
      <w:tr>
        <w:trPr>
          <w:trHeight w:val="613" w:hRule="atLeast"/>
        </w:trPr>
        <w:tc>
          <w:tcPr>
            <w:tcW w:w="3634" w:type="dxa"/>
          </w:tcPr>
          <w:p>
            <w:pPr>
              <w:pStyle w:val="TableParagraph"/>
              <w:ind w:left="840" w:right="840"/>
              <w:jc w:val="center"/>
              <w:rPr>
                <w:sz w:val="24"/>
              </w:rPr>
            </w:pPr>
            <w:r>
              <w:rPr>
                <w:sz w:val="24"/>
              </w:rPr>
              <w:t>β-sheet</w:t>
            </w:r>
          </w:p>
        </w:tc>
        <w:tc>
          <w:tcPr>
            <w:tcW w:w="3970" w:type="dxa"/>
          </w:tcPr>
          <w:p>
            <w:pPr>
              <w:pStyle w:val="TableParagraph"/>
              <w:ind w:left="935" w:right="927"/>
              <w:jc w:val="center"/>
              <w:rPr>
                <w:sz w:val="24"/>
              </w:rPr>
            </w:pPr>
            <w:r>
              <w:rPr>
                <w:sz w:val="24"/>
              </w:rPr>
              <w:t>1641 – 1623</w:t>
            </w:r>
          </w:p>
        </w:tc>
      </w:tr>
      <w:tr>
        <w:trPr>
          <w:trHeight w:val="614" w:hRule="atLeast"/>
        </w:trPr>
        <w:tc>
          <w:tcPr>
            <w:tcW w:w="3634" w:type="dxa"/>
          </w:tcPr>
          <w:p>
            <w:pPr>
              <w:pStyle w:val="TableParagraph"/>
              <w:ind w:left="841" w:right="840"/>
              <w:jc w:val="center"/>
              <w:rPr>
                <w:sz w:val="24"/>
              </w:rPr>
            </w:pPr>
            <w:r>
              <w:rPr>
                <w:sz w:val="24"/>
              </w:rPr>
              <w:t>Unordered</w:t>
            </w:r>
          </w:p>
        </w:tc>
        <w:tc>
          <w:tcPr>
            <w:tcW w:w="3970" w:type="dxa"/>
          </w:tcPr>
          <w:p>
            <w:pPr>
              <w:pStyle w:val="TableParagraph"/>
              <w:ind w:left="935" w:right="927"/>
              <w:jc w:val="center"/>
              <w:rPr>
                <w:sz w:val="24"/>
              </w:rPr>
            </w:pPr>
            <w:r>
              <w:rPr>
                <w:sz w:val="24"/>
              </w:rPr>
              <w:t>1657 – 1642</w:t>
            </w:r>
          </w:p>
        </w:tc>
      </w:tr>
      <w:tr>
        <w:trPr>
          <w:trHeight w:val="613" w:hRule="atLeast"/>
        </w:trPr>
        <w:tc>
          <w:tcPr>
            <w:tcW w:w="3634" w:type="dxa"/>
          </w:tcPr>
          <w:p>
            <w:pPr>
              <w:pStyle w:val="TableParagraph"/>
              <w:ind w:left="842" w:right="840"/>
              <w:jc w:val="center"/>
              <w:rPr>
                <w:sz w:val="24"/>
              </w:rPr>
            </w:pPr>
            <w:r>
              <w:rPr>
                <w:sz w:val="24"/>
              </w:rPr>
              <w:t>Antiparallel β-sheet</w:t>
            </w:r>
          </w:p>
        </w:tc>
        <w:tc>
          <w:tcPr>
            <w:tcW w:w="3970" w:type="dxa"/>
          </w:tcPr>
          <w:p>
            <w:pPr>
              <w:pStyle w:val="TableParagraph"/>
              <w:ind w:left="935" w:right="927"/>
              <w:jc w:val="center"/>
              <w:rPr>
                <w:sz w:val="24"/>
              </w:rPr>
            </w:pPr>
            <w:r>
              <w:rPr>
                <w:sz w:val="24"/>
              </w:rPr>
              <w:t>1695 – 1675</w:t>
            </w:r>
          </w:p>
        </w:tc>
      </w:tr>
    </w:tbl>
    <w:p>
      <w:pPr>
        <w:spacing w:after="0"/>
        <w:jc w:val="center"/>
        <w:rPr>
          <w:sz w:val="24"/>
        </w:rPr>
        <w:sectPr>
          <w:pgSz w:w="11910" w:h="16840"/>
          <w:pgMar w:header="722" w:footer="748" w:top="1300" w:bottom="940" w:left="1500" w:right="1480"/>
        </w:sectPr>
      </w:pPr>
    </w:p>
    <w:p>
      <w:pPr>
        <w:pStyle w:val="BodyText"/>
        <w:spacing w:line="360" w:lineRule="auto" w:before="119"/>
        <w:ind w:left="300" w:right="315"/>
        <w:jc w:val="both"/>
      </w:pPr>
      <w:r>
        <w:rPr/>
        <w:t>There is considerable overlap of the bands arising from α-helical and the unordered conformations. It is therefore generally difficult to assign the bands appearing in this region. Recording an IR spectrum in D</w:t>
      </w:r>
      <w:r>
        <w:rPr>
          <w:vertAlign w:val="subscript"/>
        </w:rPr>
        <w:t>2</w:t>
      </w:r>
      <w:r>
        <w:rPr>
          <w:vertAlign w:val="baseline"/>
        </w:rPr>
        <w:t>O decreases this overlap to some extent. Dissolution a protein in D</w:t>
      </w:r>
      <w:r>
        <w:rPr>
          <w:vertAlign w:val="subscript"/>
        </w:rPr>
        <w:t>2</w:t>
      </w:r>
      <w:r>
        <w:rPr>
          <w:vertAlign w:val="baseline"/>
        </w:rPr>
        <w:t>O results in the exchange of solvent exposed amide protons by deuterium. Hydrogens of the unordered amides are more easily exchanged as compared to those involved in the secondary structures. Despite this, it is not easy to unambiguously assign the bands arising in the 1657- 1648 cm</w:t>
      </w:r>
      <w:r>
        <w:rPr>
          <w:vertAlign w:val="superscript"/>
        </w:rPr>
        <w:t>-1</w:t>
      </w:r>
      <w:r>
        <w:rPr>
          <w:vertAlign w:val="baseline"/>
        </w:rPr>
        <w:t> region. Circular dichroism and </w:t>
      </w:r>
      <w:r>
        <w:rPr>
          <w:spacing w:val="-3"/>
          <w:vertAlign w:val="baseline"/>
        </w:rPr>
        <w:t>IR </w:t>
      </w:r>
      <w:r>
        <w:rPr>
          <w:vertAlign w:val="baseline"/>
        </w:rPr>
        <w:t>spectroscopy therefore complement each other wherein α-helices  are easily detected by CD and β-sheets by IR. Like CD, an IR spectrum of a protein can also be deconvoluted to determine the fractions of different secondary structural elements as shown in Figure</w:t>
      </w:r>
      <w:r>
        <w:rPr>
          <w:spacing w:val="-2"/>
          <w:vertAlign w:val="baseline"/>
        </w:rPr>
        <w:t> </w:t>
      </w:r>
      <w:r>
        <w:rPr>
          <w:vertAlign w:val="baseline"/>
        </w:rPr>
        <w:t>10.8.</w:t>
      </w:r>
    </w:p>
    <w:p>
      <w:pPr>
        <w:pStyle w:val="BodyText"/>
        <w:spacing w:before="7"/>
        <w:rPr>
          <w:sz w:val="17"/>
        </w:rPr>
      </w:pPr>
      <w:r>
        <w:rPr/>
        <w:drawing>
          <wp:anchor distT="0" distB="0" distL="0" distR="0" allowOverlap="1" layoutInCell="1" locked="0" behindDoc="0" simplePos="0" relativeHeight="149">
            <wp:simplePos x="0" y="0"/>
            <wp:positionH relativeFrom="page">
              <wp:posOffset>1933377</wp:posOffset>
            </wp:positionH>
            <wp:positionV relativeFrom="paragraph">
              <wp:posOffset>153950</wp:posOffset>
            </wp:positionV>
            <wp:extent cx="3882495" cy="2665476"/>
            <wp:effectExtent l="0" t="0" r="0" b="0"/>
            <wp:wrapTopAndBottom/>
            <wp:docPr id="121" name="image64.jpeg" descr="Figure 10.7.tif"/>
            <wp:cNvGraphicFramePr>
              <a:graphicFrameLocks noChangeAspect="1"/>
            </wp:cNvGraphicFramePr>
            <a:graphic>
              <a:graphicData uri="http://schemas.openxmlformats.org/drawingml/2006/picture">
                <pic:pic>
                  <pic:nvPicPr>
                    <pic:cNvPr id="122" name="image64.jpeg"/>
                    <pic:cNvPicPr/>
                  </pic:nvPicPr>
                  <pic:blipFill>
                    <a:blip r:embed="rId72" cstate="print"/>
                    <a:stretch>
                      <a:fillRect/>
                    </a:stretch>
                  </pic:blipFill>
                  <pic:spPr>
                    <a:xfrm>
                      <a:off x="0" y="0"/>
                      <a:ext cx="3882495" cy="2665476"/>
                    </a:xfrm>
                    <a:prstGeom prst="rect">
                      <a:avLst/>
                    </a:prstGeom>
                  </pic:spPr>
                </pic:pic>
              </a:graphicData>
            </a:graphic>
          </wp:anchor>
        </w:drawing>
      </w:r>
    </w:p>
    <w:p>
      <w:pPr>
        <w:pStyle w:val="BodyText"/>
        <w:spacing w:before="3"/>
        <w:rPr>
          <w:sz w:val="26"/>
        </w:rPr>
      </w:pPr>
    </w:p>
    <w:p>
      <w:pPr>
        <w:spacing w:before="0"/>
        <w:ind w:left="736" w:right="0" w:firstLine="0"/>
        <w:jc w:val="left"/>
        <w:rPr>
          <w:b/>
          <w:sz w:val="16"/>
        </w:rPr>
      </w:pPr>
      <w:r>
        <w:rPr>
          <w:b/>
          <w:sz w:val="16"/>
        </w:rPr>
        <w:t>Figure 10.8. Deconvolution of Amide I band of a protein to identify the fractions of different structural elements</w:t>
      </w:r>
    </w:p>
    <w:p>
      <w:pPr>
        <w:spacing w:after="0"/>
        <w:jc w:val="left"/>
        <w:rPr>
          <w:sz w:val="16"/>
        </w:rPr>
        <w:sectPr>
          <w:pgSz w:w="11910" w:h="16840"/>
          <w:pgMar w:header="722" w:footer="748" w:top="1300" w:bottom="940" w:left="1500" w:right="1480"/>
        </w:sectPr>
      </w:pPr>
    </w:p>
    <w:p>
      <w:pPr>
        <w:pStyle w:val="Heading4"/>
        <w:spacing w:before="124"/>
        <w:ind w:left="792" w:right="617"/>
        <w:jc w:val="center"/>
      </w:pPr>
      <w:r>
        <w:rPr/>
        <w:pict>
          <v:group style="position:absolute;margin-left:94.559998pt;margin-top:71.998985pt;width:416.2pt;height:695.8pt;mso-position-horizontal-relative:page;mso-position-vertical-relative:page;z-index:-18462208" coordorigin="1891,1440" coordsize="8324,13916">
            <v:shape style="position:absolute;left:1891;top:1439;width:8324;height:13916" coordorigin="1891,1440" coordsize="8324,13916" path="m10214,1440l10106,1440,10106,1440,10106,12168,1997,12168,10106,12168,10106,9684,1997,9684,10106,9684,10106,3082,1997,3082,10106,3082,10106,2054,1997,2054,10106,2054,10106,1440,1997,1440,1891,1440,1891,15355,1997,15355,1997,13555,10106,13555,10106,15355,10214,15355,10214,1440xe" filled="true" fillcolor="#dadada" stroked="false">
              <v:path arrowok="t"/>
              <v:fill type="solid"/>
            </v:shape>
            <v:rect style="position:absolute;left:8985;top:13211;width:101;height:17" filled="true" fillcolor="#000000" stroked="false">
              <v:fill type="solid"/>
            </v:rect>
            <v:rect style="position:absolute;left:1996;top:13555;width:8110;height:557" filled="true" fillcolor="#dadada" stroked="false">
              <v:fill type="solid"/>
            </v:rect>
            <v:rect style="position:absolute;left:4404;top:13771;width:101;height:17" filled="true" fillcolor="#000000" stroked="false">
              <v:fill type="solid"/>
            </v:rect>
            <v:shape style="position:absolute;left:1996;top:14112;width:8110;height:1244" coordorigin="1997,14112" coordsize="8110,1244" path="m10106,14940l10106,14527,10106,14112,1997,14112,1997,14527,1997,14940,1997,15355,10106,15355,10106,14940xe" filled="true" fillcolor="#dadada" stroked="false">
              <v:path arrowok="t"/>
              <v:fill type="solid"/>
            </v:shape>
            <v:shape style="position:absolute;left:2030;top:3084;width:8164;height:4608" type="#_x0000_t75" alt="Box 10.1.tif" stroked="false">
              <v:imagedata r:id="rId73" o:title=""/>
            </v:shape>
            <w10:wrap type="none"/>
          </v:group>
        </w:pict>
      </w:r>
      <w:r>
        <w:rPr/>
        <w:t>Box 10.1: Michelson interferometer</w:t>
      </w:r>
    </w:p>
    <w:p>
      <w:pPr>
        <w:pStyle w:val="BodyText"/>
        <w:spacing w:before="2"/>
        <w:rPr>
          <w:b/>
          <w:sz w:val="21"/>
        </w:rPr>
      </w:pPr>
    </w:p>
    <w:p>
      <w:pPr>
        <w:pStyle w:val="BodyText"/>
        <w:spacing w:line="360" w:lineRule="auto" w:before="90"/>
        <w:ind w:left="496"/>
      </w:pPr>
      <w:r>
        <w:rPr/>
        <w:t>A Michelson interferometer has a radiation source, a collimator, a beam-splitter, a movable mirror, a fixed mirror, a compensator, and a detector.</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19"/>
        </w:rPr>
      </w:pPr>
    </w:p>
    <w:p>
      <w:pPr>
        <w:pStyle w:val="BodyText"/>
        <w:spacing w:line="360" w:lineRule="auto" w:before="90"/>
        <w:ind w:left="496" w:right="316"/>
        <w:jc w:val="both"/>
      </w:pPr>
      <w:r>
        <w:rPr/>
        <w:t>The radiation coming from the source is collimated and focused on the beam- splitter. 50% of the radiation gets transmitted while 50% gets reflected. The mirrors reflect back the radiation towards the beam splitter that again allows 50% transmission and 50% reflection. This allows the beams, B and C to interfere and give the beam D. As the beam, B travels through the beam-splitter twice while  beam C does not travel through it even once, a compensation plate of same material (un-mirrored) and thickness as the beam-splitter is, is placed between the beam- splitter and the fixed mirror. This allows the beams, B and C to travel the equal distance. The motion of the movable mirror, M</w:t>
      </w:r>
      <w:r>
        <w:rPr>
          <w:vertAlign w:val="subscript"/>
        </w:rPr>
        <w:t>2</w:t>
      </w:r>
      <w:r>
        <w:rPr>
          <w:vertAlign w:val="baseline"/>
        </w:rPr>
        <w:t> causes the two beams to travel different distances thereby generating interference. Let us see what happens when a monochromatic radiation is used in the Michelson interferometer. If the beams, B and C travel the equal distance, they are in phase and will interfere constructively.</w:t>
      </w:r>
      <w:r>
        <w:rPr>
          <w:spacing w:val="-17"/>
          <w:vertAlign w:val="baseline"/>
        </w:rPr>
        <w:t> </w:t>
      </w:r>
      <w:r>
        <w:rPr>
          <w:vertAlign w:val="baseline"/>
        </w:rPr>
        <w:t>If</w:t>
      </w:r>
    </w:p>
    <w:p>
      <w:pPr>
        <w:pStyle w:val="BodyText"/>
        <w:spacing w:line="243" w:lineRule="exact" w:before="75"/>
        <w:ind w:left="496"/>
        <w:jc w:val="both"/>
      </w:pPr>
      <w:r>
        <w:rPr/>
        <w:pict>
          <v:shape style="position:absolute;margin-left:176.520004pt;margin-top:9.34857pt;width:4.05pt;height:8.950pt;mso-position-horizontal-relative:page;mso-position-vertical-relative:paragraph;z-index:-18461696" type="#_x0000_t202" filled="false" stroked="false">
            <v:textbox inset="0,0,0,0">
              <w:txbxContent>
                <w:p>
                  <w:pPr>
                    <w:spacing w:line="178" w:lineRule="exact" w:before="0"/>
                    <w:ind w:left="0" w:right="0" w:firstLine="0"/>
                    <w:jc w:val="left"/>
                    <w:rPr>
                      <w:sz w:val="16"/>
                    </w:rPr>
                  </w:pPr>
                  <w:r>
                    <w:rPr>
                      <w:w w:val="100"/>
                      <w:sz w:val="16"/>
                    </w:rPr>
                    <w:t>2</w:t>
                  </w:r>
                </w:p>
              </w:txbxContent>
            </v:textbox>
            <w10:wrap type="none"/>
          </v:shape>
        </w:pict>
      </w:r>
      <w:r>
        <w:rPr/>
        <w:t>however,</w:t>
      </w:r>
      <w:r>
        <w:rPr>
          <w:spacing w:val="11"/>
        </w:rPr>
        <w:t> </w:t>
      </w:r>
      <w:r>
        <w:rPr/>
        <w:t>the</w:t>
      </w:r>
      <w:r>
        <w:rPr>
          <w:spacing w:val="10"/>
        </w:rPr>
        <w:t> </w:t>
      </w:r>
      <w:r>
        <w:rPr/>
        <w:t>M </w:t>
      </w:r>
      <w:r>
        <w:rPr>
          <w:spacing w:val="32"/>
        </w:rPr>
        <w:t> </w:t>
      </w:r>
      <w:r>
        <w:rPr/>
        <w:t>moves,</w:t>
      </w:r>
      <w:r>
        <w:rPr>
          <w:spacing w:val="11"/>
        </w:rPr>
        <w:t> </w:t>
      </w:r>
      <w:r>
        <w:rPr/>
        <w:t>say</w:t>
      </w:r>
      <w:r>
        <w:rPr>
          <w:spacing w:val="7"/>
        </w:rPr>
        <w:t> </w:t>
      </w:r>
      <w:r>
        <w:rPr/>
        <w:t>towards</w:t>
      </w:r>
      <w:r>
        <w:rPr>
          <w:spacing w:val="11"/>
        </w:rPr>
        <w:t> </w:t>
      </w:r>
      <w:r>
        <w:rPr/>
        <w:t>the</w:t>
      </w:r>
      <w:r>
        <w:rPr>
          <w:spacing w:val="10"/>
        </w:rPr>
        <w:t> </w:t>
      </w:r>
      <w:r>
        <w:rPr/>
        <w:t>beam-splitter</w:t>
      </w:r>
      <w:r>
        <w:rPr>
          <w:spacing w:val="11"/>
        </w:rPr>
        <w:t> </w:t>
      </w:r>
      <w:r>
        <w:rPr/>
        <w:t>by</w:t>
      </w:r>
      <w:r>
        <w:rPr>
          <w:spacing w:val="6"/>
        </w:rPr>
        <w:t> </w:t>
      </w:r>
      <w:r>
        <w:rPr/>
        <w:t>a</w:t>
      </w:r>
      <w:r>
        <w:rPr>
          <w:spacing w:val="11"/>
        </w:rPr>
        <w:t> </w:t>
      </w:r>
      <w:r>
        <w:rPr/>
        <w:t>distance</w:t>
      </w:r>
      <w:r>
        <w:rPr>
          <w:spacing w:val="10"/>
        </w:rPr>
        <w:t> </w:t>
      </w:r>
      <w:r>
        <w:rPr/>
        <w:t>of</w:t>
      </w:r>
      <w:r>
        <w:rPr>
          <w:spacing w:val="10"/>
        </w:rPr>
        <w:t> </w:t>
      </w:r>
      <w:r>
        <w:rPr>
          <w:rFonts w:ascii="Symbola" w:eastAsia="Symbola"/>
          <w:vertAlign w:val="superscript"/>
        </w:rPr>
        <w:t>𝜆</w:t>
      </w:r>
      <w:r>
        <w:rPr>
          <w:vertAlign w:val="baseline"/>
        </w:rPr>
        <w:t>,</w:t>
      </w:r>
      <w:r>
        <w:rPr>
          <w:spacing w:val="12"/>
          <w:vertAlign w:val="baseline"/>
        </w:rPr>
        <w:t> </w:t>
      </w:r>
      <w:r>
        <w:rPr>
          <w:vertAlign w:val="baseline"/>
        </w:rPr>
        <w:t>the</w:t>
      </w:r>
      <w:r>
        <w:rPr>
          <w:spacing w:val="10"/>
          <w:vertAlign w:val="baseline"/>
        </w:rPr>
        <w:t> </w:t>
      </w:r>
      <w:r>
        <w:rPr>
          <w:vertAlign w:val="baseline"/>
        </w:rPr>
        <w:t>beam</w:t>
      </w:r>
    </w:p>
    <w:p>
      <w:pPr>
        <w:spacing w:line="137" w:lineRule="exact" w:before="0"/>
        <w:ind w:left="0" w:right="1340" w:firstLine="0"/>
        <w:jc w:val="right"/>
        <w:rPr>
          <w:rFonts w:ascii="Symbola"/>
          <w:sz w:val="17"/>
        </w:rPr>
      </w:pPr>
      <w:r>
        <w:rPr>
          <w:rFonts w:ascii="Symbola"/>
          <w:w w:val="115"/>
          <w:sz w:val="17"/>
        </w:rPr>
        <w:t>4</w:t>
      </w:r>
    </w:p>
    <w:p>
      <w:pPr>
        <w:pStyle w:val="BodyText"/>
        <w:spacing w:line="243" w:lineRule="exact" w:before="178"/>
        <w:ind w:left="496"/>
        <w:jc w:val="both"/>
      </w:pPr>
      <w:r>
        <w:rPr/>
        <w:t>B</w:t>
      </w:r>
      <w:r>
        <w:rPr>
          <w:spacing w:val="22"/>
        </w:rPr>
        <w:t> </w:t>
      </w:r>
      <w:r>
        <w:rPr/>
        <w:t>travels</w:t>
      </w:r>
      <w:r>
        <w:rPr>
          <w:spacing w:val="25"/>
        </w:rPr>
        <w:t> </w:t>
      </w:r>
      <w:r>
        <w:rPr/>
        <w:t>a</w:t>
      </w:r>
      <w:r>
        <w:rPr>
          <w:spacing w:val="24"/>
        </w:rPr>
        <w:t> </w:t>
      </w:r>
      <w:r>
        <w:rPr/>
        <w:t>distance</w:t>
      </w:r>
      <w:r>
        <w:rPr>
          <w:spacing w:val="23"/>
        </w:rPr>
        <w:t> </w:t>
      </w:r>
      <w:r>
        <w:rPr/>
        <w:t>of </w:t>
      </w:r>
      <w:r>
        <w:rPr>
          <w:spacing w:val="52"/>
        </w:rPr>
        <w:t> </w:t>
      </w:r>
      <w:r>
        <w:rPr>
          <w:rFonts w:ascii="Symbola" w:eastAsia="Symbola"/>
          <w:vertAlign w:val="superscript"/>
        </w:rPr>
        <w:t>𝜆</w:t>
      </w:r>
      <w:r>
        <w:rPr>
          <w:rFonts w:ascii="Symbola" w:eastAsia="Symbola"/>
          <w:spacing w:val="26"/>
          <w:vertAlign w:val="baseline"/>
        </w:rPr>
        <w:t> </w:t>
      </w:r>
      <w:r>
        <w:rPr>
          <w:vertAlign w:val="baseline"/>
        </w:rPr>
        <w:t>less</w:t>
      </w:r>
      <w:r>
        <w:rPr>
          <w:spacing w:val="25"/>
          <w:vertAlign w:val="baseline"/>
        </w:rPr>
        <w:t> </w:t>
      </w:r>
      <w:r>
        <w:rPr>
          <w:vertAlign w:val="baseline"/>
        </w:rPr>
        <w:t>than</w:t>
      </w:r>
      <w:r>
        <w:rPr>
          <w:spacing w:val="25"/>
          <w:vertAlign w:val="baseline"/>
        </w:rPr>
        <w:t> </w:t>
      </w:r>
      <w:r>
        <w:rPr>
          <w:vertAlign w:val="baseline"/>
        </w:rPr>
        <w:t>that</w:t>
      </w:r>
      <w:r>
        <w:rPr>
          <w:spacing w:val="24"/>
          <w:vertAlign w:val="baseline"/>
        </w:rPr>
        <w:t> </w:t>
      </w:r>
      <w:r>
        <w:rPr>
          <w:vertAlign w:val="baseline"/>
        </w:rPr>
        <w:t>travelled</w:t>
      </w:r>
      <w:r>
        <w:rPr>
          <w:spacing w:val="23"/>
          <w:vertAlign w:val="baseline"/>
        </w:rPr>
        <w:t> </w:t>
      </w:r>
      <w:r>
        <w:rPr>
          <w:vertAlign w:val="baseline"/>
        </w:rPr>
        <w:t>by</w:t>
      </w:r>
      <w:r>
        <w:rPr>
          <w:spacing w:val="20"/>
          <w:vertAlign w:val="baseline"/>
        </w:rPr>
        <w:t> </w:t>
      </w:r>
      <w:r>
        <w:rPr>
          <w:vertAlign w:val="baseline"/>
        </w:rPr>
        <w:t>beam</w:t>
      </w:r>
      <w:r>
        <w:rPr>
          <w:spacing w:val="24"/>
          <w:vertAlign w:val="baseline"/>
        </w:rPr>
        <w:t> </w:t>
      </w:r>
      <w:r>
        <w:rPr>
          <w:vertAlign w:val="baseline"/>
        </w:rPr>
        <w:t>C.</w:t>
      </w:r>
      <w:r>
        <w:rPr>
          <w:spacing w:val="25"/>
          <w:vertAlign w:val="baseline"/>
        </w:rPr>
        <w:t> </w:t>
      </w:r>
      <w:r>
        <w:rPr>
          <w:vertAlign w:val="baseline"/>
        </w:rPr>
        <w:t>This</w:t>
      </w:r>
      <w:r>
        <w:rPr>
          <w:spacing w:val="25"/>
          <w:vertAlign w:val="baseline"/>
        </w:rPr>
        <w:t> </w:t>
      </w:r>
      <w:r>
        <w:rPr>
          <w:vertAlign w:val="baseline"/>
        </w:rPr>
        <w:t>allows</w:t>
      </w:r>
      <w:r>
        <w:rPr>
          <w:spacing w:val="24"/>
          <w:vertAlign w:val="baseline"/>
        </w:rPr>
        <w:t> </w:t>
      </w:r>
      <w:r>
        <w:rPr>
          <w:vertAlign w:val="baseline"/>
        </w:rPr>
        <w:t>a</w:t>
      </w:r>
      <w:r>
        <w:rPr>
          <w:spacing w:val="24"/>
          <w:vertAlign w:val="baseline"/>
        </w:rPr>
        <w:t> </w:t>
      </w:r>
      <w:r>
        <w:rPr>
          <w:vertAlign w:val="baseline"/>
        </w:rPr>
        <w:t>phase</w:t>
      </w:r>
    </w:p>
    <w:p>
      <w:pPr>
        <w:spacing w:line="137" w:lineRule="exact" w:before="0"/>
        <w:ind w:left="2904" w:right="0" w:firstLine="0"/>
        <w:jc w:val="left"/>
        <w:rPr>
          <w:rFonts w:ascii="Symbola"/>
          <w:sz w:val="17"/>
        </w:rPr>
      </w:pPr>
      <w:r>
        <w:rPr>
          <w:rFonts w:ascii="Symbola"/>
          <w:w w:val="115"/>
          <w:sz w:val="17"/>
        </w:rPr>
        <w:t>2</w:t>
      </w:r>
    </w:p>
    <w:p>
      <w:pPr>
        <w:pStyle w:val="BodyText"/>
        <w:spacing w:line="360" w:lineRule="auto" w:before="102"/>
        <w:ind w:left="496" w:right="317"/>
        <w:jc w:val="both"/>
      </w:pPr>
      <w:r>
        <w:rPr/>
        <w:t>difference of 180° resulting in destructive interference. A continuous motion of the mirror M</w:t>
      </w:r>
      <w:r>
        <w:rPr>
          <w:vertAlign w:val="subscript"/>
        </w:rPr>
        <w:t>2</w:t>
      </w:r>
      <w:r>
        <w:rPr>
          <w:vertAlign w:val="baseline"/>
        </w:rPr>
        <w:t>, therefore, will generate a sinusoidal signal through interference. The detector  therefore  detects  a  time  domain  signal.  If  a  sample  placed  before</w:t>
      </w:r>
      <w:r>
        <w:rPr>
          <w:spacing w:val="42"/>
          <w:vertAlign w:val="baseline"/>
        </w:rPr>
        <w:t> </w:t>
      </w:r>
      <w:r>
        <w:rPr>
          <w:vertAlign w:val="baseline"/>
        </w:rPr>
        <w:t>the</w:t>
      </w:r>
    </w:p>
    <w:p>
      <w:pPr>
        <w:spacing w:after="0" w:line="360" w:lineRule="auto"/>
        <w:jc w:val="both"/>
        <w:sectPr>
          <w:pgSz w:w="11910" w:h="16840"/>
          <w:pgMar w:header="722" w:footer="748" w:top="1300" w:bottom="940" w:left="1500" w:right="1480"/>
        </w:sectPr>
      </w:pPr>
    </w:p>
    <w:p>
      <w:pPr>
        <w:pStyle w:val="BodyText"/>
        <w:spacing w:before="10"/>
        <w:rPr>
          <w:sz w:val="10"/>
        </w:rPr>
      </w:pPr>
    </w:p>
    <w:p>
      <w:pPr>
        <w:pStyle w:val="BodyText"/>
        <w:ind w:left="391"/>
        <w:rPr>
          <w:sz w:val="20"/>
        </w:rPr>
      </w:pPr>
      <w:r>
        <w:rPr>
          <w:sz w:val="20"/>
        </w:rPr>
        <w:pict>
          <v:shape style="width:416.2pt;height:113.55pt;mso-position-horizontal-relative:char;mso-position-vertical-relative:line" type="#_x0000_t202" filled="true" fillcolor="#dadada" stroked="false">
            <w10:anchorlock/>
            <v:textbox inset="0,0,0,0">
              <w:txbxContent>
                <w:p>
                  <w:pPr>
                    <w:pStyle w:val="BodyText"/>
                    <w:spacing w:line="360" w:lineRule="auto"/>
                    <w:ind w:left="105" w:right="105"/>
                    <w:jc w:val="both"/>
                  </w:pPr>
                  <w:r>
                    <w:rPr/>
                    <w:t>detector absorbs this radiation, the intensity of the light goes down. If a polychromatic light is used, the interference pattern generated carries all the wavelengths present in the polychromatic light. Absorption of any wavelength will result in a change in the interfering pattern. The interfering pattern, also known as interferogram is then Fourier transformed to obtain the frequency domain data.</w:t>
                  </w:r>
                </w:p>
              </w:txbxContent>
            </v:textbox>
            <v:fill type="solid"/>
          </v:shape>
        </w:pict>
      </w:r>
      <w:r>
        <w:rPr>
          <w:sz w:val="20"/>
        </w:rPr>
      </w:r>
    </w:p>
    <w:p>
      <w:pPr>
        <w:spacing w:after="0"/>
        <w:rPr>
          <w:sz w:val="20"/>
        </w:rPr>
        <w:sectPr>
          <w:pgSz w:w="11910" w:h="16840"/>
          <w:pgMar w:header="722" w:footer="748" w:top="1300" w:bottom="940" w:left="1500" w:right="1480"/>
        </w:sectPr>
      </w:pPr>
    </w:p>
    <w:p>
      <w:pPr>
        <w:pStyle w:val="Heading4"/>
        <w:spacing w:before="124"/>
        <w:ind w:left="596" w:right="617"/>
        <w:jc w:val="center"/>
      </w:pPr>
      <w:r>
        <w:rPr/>
        <w:t>QUIZ</w:t>
      </w:r>
    </w:p>
    <w:p>
      <w:pPr>
        <w:pStyle w:val="BodyText"/>
        <w:spacing w:before="1"/>
        <w:rPr>
          <w:b/>
          <w:sz w:val="21"/>
        </w:rPr>
      </w:pPr>
    </w:p>
    <w:p>
      <w:pPr>
        <w:spacing w:line="360" w:lineRule="auto" w:before="0"/>
        <w:ind w:left="300" w:right="316" w:firstLine="0"/>
        <w:jc w:val="both"/>
        <w:rPr>
          <w:b/>
          <w:sz w:val="24"/>
        </w:rPr>
      </w:pPr>
      <w:r>
        <w:rPr>
          <w:b/>
          <w:sz w:val="24"/>
        </w:rPr>
        <w:t>Q1: If the stretching frequency of a hydrogen molecule is 1.2 × 10</w:t>
      </w:r>
      <w:r>
        <w:rPr>
          <w:b/>
          <w:sz w:val="24"/>
          <w:vertAlign w:val="superscript"/>
        </w:rPr>
        <w:t>14</w:t>
      </w:r>
      <w:r>
        <w:rPr>
          <w:b/>
          <w:sz w:val="24"/>
          <w:vertAlign w:val="baseline"/>
        </w:rPr>
        <w:t> vibrations/sec. Calculate the wavenumber where hydrogen molecule absorption band will be observed in an IR spectrum.</w:t>
      </w:r>
    </w:p>
    <w:p>
      <w:pPr>
        <w:pStyle w:val="BodyText"/>
        <w:spacing w:line="360" w:lineRule="auto"/>
        <w:ind w:left="1020" w:right="317" w:hanging="720"/>
        <w:jc w:val="both"/>
      </w:pPr>
      <w:r>
        <w:rPr>
          <w:b/>
        </w:rPr>
        <w:t>Ans: </w:t>
      </w:r>
      <w:r>
        <w:rPr/>
        <w:t>The frequency of hydrogen stretching can be represented in terms of wavenumbers as follows:</w:t>
      </w:r>
    </w:p>
    <w:p>
      <w:pPr>
        <w:pStyle w:val="BodyText"/>
        <w:spacing w:line="182" w:lineRule="exact" w:before="57"/>
        <w:ind w:left="2520"/>
      </w:pPr>
      <w:r>
        <w:rPr/>
        <w:pict>
          <v:rect style="position:absolute;margin-left:225.720001pt;margin-top:10.213144pt;width:5.04pt;height:.84pt;mso-position-horizontal-relative:page;mso-position-vertical-relative:paragraph;z-index:15806976" filled="true" fillcolor="#000000" stroked="false">
            <v:fill type="solid"/>
            <w10:wrap type="none"/>
          </v:rect>
        </w:pict>
      </w:r>
      <w:r>
        <w:rPr/>
        <w:pict>
          <v:rect style="position:absolute;margin-left:249.119995pt;margin-top:10.213144pt;width:5.16pt;height:.84pt;mso-position-horizontal-relative:page;mso-position-vertical-relative:paragraph;z-index:15807488" filled="true" fillcolor="#000000" stroked="false">
            <v:fill type="solid"/>
            <w10:wrap type="none"/>
          </v:rect>
        </w:pict>
      </w:r>
      <w:r>
        <w:rPr>
          <w:rFonts w:ascii="Symbola" w:hAnsi="Symbola" w:eastAsia="Symbola"/>
        </w:rPr>
        <w:t>𝜈̅ = </w:t>
      </w:r>
      <w:r>
        <w:rPr>
          <w:rFonts w:ascii="Symbola" w:hAnsi="Symbola" w:eastAsia="Symbola"/>
          <w:vertAlign w:val="superscript"/>
        </w:rPr>
        <w:t>1</w:t>
      </w:r>
      <w:r>
        <w:rPr>
          <w:rFonts w:ascii="Symbola" w:hAnsi="Symbola" w:eastAsia="Symbola"/>
          <w:vertAlign w:val="baseline"/>
        </w:rPr>
        <w:t> = </w:t>
      </w:r>
      <w:r>
        <w:rPr>
          <w:rFonts w:ascii="Symbola" w:hAnsi="Symbola" w:eastAsia="Symbola"/>
          <w:vertAlign w:val="superscript"/>
        </w:rPr>
        <w:t>𝜈</w:t>
      </w:r>
      <w:r>
        <w:rPr>
          <w:rFonts w:ascii="Symbola" w:hAnsi="Symbola" w:eastAsia="Symbola"/>
          <w:vertAlign w:val="baseline"/>
        </w:rPr>
        <w:t> </w:t>
      </w:r>
      <w:r>
        <w:rPr>
          <w:vertAlign w:val="baseline"/>
        </w:rPr>
        <w:t>cm</w:t>
      </w:r>
      <w:r>
        <w:rPr>
          <w:vertAlign w:val="superscript"/>
        </w:rPr>
        <w:t>-1</w:t>
      </w:r>
    </w:p>
    <w:p>
      <w:pPr>
        <w:tabs>
          <w:tab w:pos="472" w:val="left" w:leader="none"/>
        </w:tabs>
        <w:spacing w:before="28"/>
        <w:ind w:left="0" w:right="2336" w:firstLine="0"/>
        <w:jc w:val="center"/>
        <w:rPr>
          <w:rFonts w:ascii="Symbola" w:eastAsia="Symbola"/>
          <w:sz w:val="17"/>
        </w:rPr>
      </w:pPr>
      <w:r>
        <w:rPr>
          <w:rFonts w:ascii="Symbola" w:eastAsia="Symbola"/>
          <w:sz w:val="17"/>
        </w:rPr>
        <w:t>𝜆</w:t>
        <w:tab/>
        <w:t>𝑐</w:t>
      </w:r>
    </w:p>
    <w:p>
      <w:pPr>
        <w:spacing w:after="0"/>
        <w:jc w:val="center"/>
        <w:rPr>
          <w:rFonts w:ascii="Symbola" w:eastAsia="Symbola"/>
          <w:sz w:val="17"/>
        </w:rPr>
        <w:sectPr>
          <w:pgSz w:w="11910" w:h="16840"/>
          <w:pgMar w:header="722" w:footer="748" w:top="1300" w:bottom="940" w:left="1500" w:right="1480"/>
        </w:sectPr>
      </w:pPr>
    </w:p>
    <w:p>
      <w:pPr>
        <w:spacing w:line="199" w:lineRule="auto" w:before="121"/>
        <w:ind w:left="2460" w:right="0" w:firstLine="0"/>
        <w:jc w:val="left"/>
        <w:rPr>
          <w:rFonts w:ascii="Symbola" w:hAnsi="Symbola" w:eastAsia="Symbola"/>
          <w:sz w:val="14"/>
        </w:rPr>
      </w:pPr>
      <w:r>
        <w:rPr/>
        <w:pict>
          <v:rect style="position:absolute;margin-left:222.720001pt;margin-top:17.36953pt;width:65.039pt;height:.84pt;mso-position-horizontal-relative:page;mso-position-vertical-relative:paragraph;z-index:-18459648" filled="true" fillcolor="#000000" stroked="false">
            <v:fill type="solid"/>
            <w10:wrap type="none"/>
          </v:rect>
        </w:pict>
      </w:r>
      <w:r>
        <w:rPr/>
        <w:pict>
          <v:shape style="position:absolute;margin-left:247.440002pt;margin-top:18.076170pt;width:8.35pt;height:8.2pt;mso-position-horizontal-relative:page;mso-position-vertical-relative:paragraph;z-index:-18459136" type="#_x0000_t202" filled="false" stroked="false">
            <v:textbox inset="0,0,0,0">
              <w:txbxContent>
                <w:p>
                  <w:pPr>
                    <w:spacing w:before="22"/>
                    <w:ind w:left="0" w:right="0" w:firstLine="0"/>
                    <w:jc w:val="left"/>
                    <w:rPr>
                      <w:rFonts w:ascii="Symbola"/>
                      <w:sz w:val="14"/>
                    </w:rPr>
                  </w:pPr>
                  <w:r>
                    <w:rPr>
                      <w:rFonts w:ascii="Symbola"/>
                      <w:w w:val="115"/>
                      <w:sz w:val="14"/>
                    </w:rPr>
                    <w:t>10</w:t>
                  </w:r>
                </w:p>
              </w:txbxContent>
            </v:textbox>
            <w10:wrap type="none"/>
          </v:shape>
        </w:pict>
      </w:r>
      <w:r>
        <w:rPr>
          <w:rFonts w:ascii="Symbola" w:hAnsi="Symbola" w:eastAsia="Symbola"/>
          <w:spacing w:val="-3"/>
          <w:position w:val="-13"/>
          <w:sz w:val="24"/>
        </w:rPr>
        <w:t>𝜈̅  </w:t>
      </w:r>
      <w:r>
        <w:rPr>
          <w:rFonts w:ascii="Symbola" w:hAnsi="Symbola" w:eastAsia="Symbola"/>
          <w:position w:val="-13"/>
          <w:sz w:val="24"/>
        </w:rPr>
        <w:t>=  </w:t>
      </w:r>
      <w:r>
        <w:rPr>
          <w:rFonts w:ascii="Symbola" w:hAnsi="Symbola" w:eastAsia="Symbola"/>
          <w:sz w:val="17"/>
        </w:rPr>
        <w:t>1.2 × 10</w:t>
      </w:r>
      <w:r>
        <w:rPr>
          <w:rFonts w:ascii="Symbola" w:hAnsi="Symbola" w:eastAsia="Symbola"/>
          <w:position w:val="6"/>
          <w:sz w:val="14"/>
        </w:rPr>
        <w:t>14</w:t>
      </w:r>
      <w:r>
        <w:rPr>
          <w:rFonts w:ascii="Symbola" w:hAnsi="Symbola" w:eastAsia="Symbola"/>
          <w:spacing w:val="-15"/>
          <w:position w:val="6"/>
          <w:sz w:val="14"/>
        </w:rPr>
        <w:t> </w:t>
      </w:r>
      <w:r>
        <w:rPr>
          <w:rFonts w:ascii="Symbola" w:hAnsi="Symbola" w:eastAsia="Symbola"/>
          <w:sz w:val="17"/>
        </w:rPr>
        <w:t>𝑠𝑒𝑐</w:t>
      </w:r>
      <w:r>
        <w:rPr>
          <w:rFonts w:ascii="Symbola" w:hAnsi="Symbola" w:eastAsia="Symbola"/>
          <w:position w:val="6"/>
          <w:sz w:val="14"/>
        </w:rPr>
        <w:t>−1</w:t>
      </w:r>
    </w:p>
    <w:p>
      <w:pPr>
        <w:tabs>
          <w:tab w:pos="705" w:val="left" w:leader="none"/>
        </w:tabs>
        <w:spacing w:line="139" w:lineRule="exact" w:before="0"/>
        <w:ind w:left="0" w:right="0" w:firstLine="0"/>
        <w:jc w:val="right"/>
        <w:rPr>
          <w:rFonts w:ascii="Symbola" w:hAnsi="Symbola" w:eastAsia="Symbola"/>
          <w:sz w:val="17"/>
        </w:rPr>
      </w:pPr>
      <w:r>
        <w:rPr>
          <w:rFonts w:ascii="Symbola" w:hAnsi="Symbola" w:eastAsia="Symbola"/>
          <w:w w:val="110"/>
          <w:sz w:val="17"/>
        </w:rPr>
        <w:t>3</w:t>
      </w:r>
      <w:r>
        <w:rPr>
          <w:rFonts w:ascii="Symbola" w:hAnsi="Symbola" w:eastAsia="Symbola"/>
          <w:spacing w:val="-12"/>
          <w:w w:val="110"/>
          <w:sz w:val="17"/>
        </w:rPr>
        <w:t> </w:t>
      </w:r>
      <w:r>
        <w:rPr>
          <w:rFonts w:ascii="Symbola" w:hAnsi="Symbola" w:eastAsia="Symbola"/>
          <w:w w:val="110"/>
          <w:sz w:val="17"/>
        </w:rPr>
        <w:t>×</w:t>
      </w:r>
      <w:r>
        <w:rPr>
          <w:rFonts w:ascii="Symbola" w:hAnsi="Symbola" w:eastAsia="Symbola"/>
          <w:spacing w:val="-10"/>
          <w:w w:val="110"/>
          <w:sz w:val="17"/>
        </w:rPr>
        <w:t> </w:t>
      </w:r>
      <w:r>
        <w:rPr>
          <w:rFonts w:ascii="Symbola" w:hAnsi="Symbola" w:eastAsia="Symbola"/>
          <w:w w:val="110"/>
          <w:sz w:val="17"/>
        </w:rPr>
        <w:t>10</w:t>
        <w:tab/>
      </w:r>
      <w:r>
        <w:rPr>
          <w:rFonts w:ascii="Symbola" w:hAnsi="Symbola" w:eastAsia="Symbola"/>
          <w:spacing w:val="-5"/>
          <w:w w:val="110"/>
          <w:sz w:val="17"/>
        </w:rPr>
        <w:t>𝑐𝑚/𝑠𝑒𝑐</w:t>
      </w:r>
    </w:p>
    <w:p>
      <w:pPr>
        <w:pStyle w:val="BodyText"/>
        <w:spacing w:before="200"/>
        <w:ind w:left="329"/>
      </w:pPr>
      <w:r>
        <w:rPr/>
        <w:br w:type="column"/>
      </w:r>
      <w:r>
        <w:rPr/>
        <w:t>= 4000 cm</w:t>
      </w:r>
      <w:r>
        <w:rPr>
          <w:vertAlign w:val="superscript"/>
        </w:rPr>
        <w:t>-1</w:t>
      </w:r>
    </w:p>
    <w:p>
      <w:pPr>
        <w:spacing w:after="0"/>
        <w:sectPr>
          <w:type w:val="continuous"/>
          <w:pgSz w:w="11910" w:h="16840"/>
          <w:pgMar w:top="1300" w:bottom="940" w:left="1500" w:right="1480"/>
          <w:cols w:num="2" w:equalWidth="0">
            <w:col w:w="4251" w:space="40"/>
            <w:col w:w="4639"/>
          </w:cols>
        </w:sectPr>
      </w:pPr>
    </w:p>
    <w:p>
      <w:pPr>
        <w:pStyle w:val="BodyText"/>
        <w:spacing w:line="360" w:lineRule="auto" w:before="140"/>
        <w:ind w:left="300" w:right="314"/>
        <w:jc w:val="both"/>
      </w:pPr>
      <w:r>
        <w:rPr/>
        <w:t>Hydrogen, however, is a homodiatomic molecule; the stretching vibration does not cause any change in the dipole moment. Therefore, hydrogen will not absorption the IR of 4000 cm</w:t>
      </w:r>
      <w:r>
        <w:rPr>
          <w:vertAlign w:val="superscript"/>
        </w:rPr>
        <w:t>-1</w:t>
      </w:r>
      <w:r>
        <w:rPr>
          <w:vertAlign w:val="baseline"/>
        </w:rPr>
        <w:t> and consequently will not appear in an IR spectrum.</w:t>
      </w:r>
    </w:p>
    <w:p>
      <w:pPr>
        <w:spacing w:after="0" w:line="360" w:lineRule="auto"/>
        <w:jc w:val="both"/>
        <w:sectPr>
          <w:type w:val="continuous"/>
          <w:pgSz w:w="11910" w:h="16840"/>
          <w:pgMar w:top="1300" w:bottom="940" w:left="1500" w:right="1480"/>
        </w:sectPr>
      </w:pPr>
    </w:p>
    <w:p>
      <w:pPr>
        <w:pStyle w:val="Heading2"/>
      </w:pPr>
      <w:r>
        <w:rPr/>
        <w:t>Lecture 11 Mass Spectrometry-I</w:t>
      </w:r>
    </w:p>
    <w:p>
      <w:pPr>
        <w:pStyle w:val="BodyText"/>
        <w:spacing w:before="10"/>
        <w:rPr>
          <w:b/>
          <w:sz w:val="32"/>
        </w:rPr>
      </w:pPr>
    </w:p>
    <w:p>
      <w:pPr>
        <w:pStyle w:val="BodyText"/>
        <w:spacing w:line="360" w:lineRule="auto" w:before="1"/>
        <w:ind w:left="300" w:right="316"/>
        <w:jc w:val="both"/>
      </w:pPr>
      <w:r>
        <w:rPr/>
        <w:drawing>
          <wp:anchor distT="0" distB="0" distL="0" distR="0" allowOverlap="1" layoutInCell="1" locked="0" behindDoc="0" simplePos="0" relativeHeight="157">
            <wp:simplePos x="0" y="0"/>
            <wp:positionH relativeFrom="page">
              <wp:posOffset>1340330</wp:posOffset>
            </wp:positionH>
            <wp:positionV relativeFrom="paragraph">
              <wp:posOffset>1864952</wp:posOffset>
            </wp:positionV>
            <wp:extent cx="5034441" cy="2535936"/>
            <wp:effectExtent l="0" t="0" r="0" b="0"/>
            <wp:wrapTopAndBottom/>
            <wp:docPr id="123" name="image66.png" descr="Figure 11.1.tif"/>
            <wp:cNvGraphicFramePr>
              <a:graphicFrameLocks noChangeAspect="1"/>
            </wp:cNvGraphicFramePr>
            <a:graphic>
              <a:graphicData uri="http://schemas.openxmlformats.org/drawingml/2006/picture">
                <pic:pic>
                  <pic:nvPicPr>
                    <pic:cNvPr id="124" name="image66.png"/>
                    <pic:cNvPicPr/>
                  </pic:nvPicPr>
                  <pic:blipFill>
                    <a:blip r:embed="rId74" cstate="print"/>
                    <a:stretch>
                      <a:fillRect/>
                    </a:stretch>
                  </pic:blipFill>
                  <pic:spPr>
                    <a:xfrm>
                      <a:off x="0" y="0"/>
                      <a:ext cx="5034441" cy="2535936"/>
                    </a:xfrm>
                    <a:prstGeom prst="rect">
                      <a:avLst/>
                    </a:prstGeom>
                  </pic:spPr>
                </pic:pic>
              </a:graphicData>
            </a:graphic>
          </wp:anchor>
        </w:drawing>
      </w:r>
      <w:r>
        <w:rPr/>
        <w:t>Mass spectrometry (abbreviated as MS) has slowly emerged as  a very powerful tool in analyzing the organic molecules including biomolecules. A mass spectrometer separates the molecules based on their mass and charge. The underlying principle is conceptually very simple: a moving charged particle can be deflected by applying electric and magnetic fields. The deflection caused by the electric and magnetic fields depends on the mass and the charge of the particle. Let us see what happens to a charged particle in an electric field (Figure</w:t>
      </w:r>
      <w:r>
        <w:rPr>
          <w:spacing w:val="-3"/>
        </w:rPr>
        <w:t> </w:t>
      </w:r>
      <w:r>
        <w:rPr/>
        <w:t>11.1).</w:t>
      </w:r>
    </w:p>
    <w:p>
      <w:pPr>
        <w:pStyle w:val="BodyText"/>
        <w:spacing w:before="3"/>
        <w:rPr>
          <w:sz w:val="27"/>
        </w:rPr>
      </w:pPr>
    </w:p>
    <w:p>
      <w:pPr>
        <w:spacing w:line="362" w:lineRule="auto" w:before="0"/>
        <w:ind w:left="496" w:right="317" w:firstLine="0"/>
        <w:jc w:val="both"/>
        <w:rPr>
          <w:b/>
          <w:sz w:val="16"/>
        </w:rPr>
      </w:pPr>
      <w:r>
        <w:rPr>
          <w:b/>
          <w:sz w:val="16"/>
        </w:rPr>
        <w:t>Figure 11.1 Force experienced in an electric field by stationary charged particles (A) and charged particles with uniform motion (B). Panel B represents the situation when the charged particles are in uniform motion with their initial velocity vectors perpendicular to the electric field vector.</w:t>
      </w:r>
    </w:p>
    <w:p>
      <w:pPr>
        <w:pStyle w:val="BodyText"/>
        <w:rPr>
          <w:b/>
          <w:sz w:val="18"/>
        </w:rPr>
      </w:pPr>
    </w:p>
    <w:p>
      <w:pPr>
        <w:pStyle w:val="BodyText"/>
        <w:spacing w:before="5"/>
        <w:rPr>
          <w:b/>
          <w:sz w:val="19"/>
        </w:rPr>
      </w:pPr>
    </w:p>
    <w:p>
      <w:pPr>
        <w:pStyle w:val="BodyText"/>
        <w:spacing w:line="360" w:lineRule="auto" w:before="1"/>
        <w:ind w:left="300" w:right="318"/>
        <w:jc w:val="both"/>
      </w:pPr>
      <w:r>
        <w:rPr/>
        <w:t>The force experienced, </w:t>
      </w:r>
      <w:r>
        <w:rPr>
          <w:i/>
        </w:rPr>
        <w:t>F </w:t>
      </w:r>
      <w:r>
        <w:rPr/>
        <w:t>by a particle with charge, </w:t>
      </w:r>
      <w:r>
        <w:rPr>
          <w:i/>
        </w:rPr>
        <w:t>q </w:t>
      </w:r>
      <w:r>
        <w:rPr/>
        <w:t>in an electric field, </w:t>
      </w:r>
      <w:r>
        <w:rPr>
          <w:i/>
        </w:rPr>
        <w:t>E </w:t>
      </w:r>
      <w:r>
        <w:rPr/>
        <w:t>is given </w:t>
      </w:r>
      <w:r>
        <w:rPr>
          <w:spacing w:val="-3"/>
        </w:rPr>
        <w:t>by:</w:t>
      </w:r>
    </w:p>
    <w:p>
      <w:pPr>
        <w:pStyle w:val="BodyText"/>
        <w:tabs>
          <w:tab w:pos="3189" w:val="left" w:leader="none"/>
          <w:tab w:pos="7499" w:val="left" w:leader="none"/>
        </w:tabs>
        <w:spacing w:line="364" w:lineRule="auto" w:before="2"/>
        <w:ind w:left="300" w:right="845" w:firstLine="720"/>
      </w:pPr>
      <w:r>
        <w:rPr>
          <w:rFonts w:ascii="Symbola" w:hAnsi="Symbola" w:eastAsia="Symbola"/>
        </w:rPr>
        <w:t>𝐹</w:t>
      </w:r>
      <w:r>
        <w:rPr>
          <w:rFonts w:ascii="Symbola" w:hAnsi="Symbola" w:eastAsia="Symbola"/>
          <w:spacing w:val="19"/>
        </w:rPr>
        <w:t> </w:t>
      </w:r>
      <w:r>
        <w:rPr>
          <w:rFonts w:ascii="Symbola" w:hAnsi="Symbola" w:eastAsia="Symbola"/>
        </w:rPr>
        <w:t>=</w:t>
      </w:r>
      <w:r>
        <w:rPr>
          <w:rFonts w:ascii="Symbola" w:hAnsi="Symbola" w:eastAsia="Symbola"/>
          <w:spacing w:val="8"/>
        </w:rPr>
        <w:t> </w:t>
      </w:r>
      <w:r>
        <w:rPr>
          <w:rFonts w:ascii="Symbola" w:hAnsi="Symbola" w:eastAsia="Symbola"/>
        </w:rPr>
        <w:t>𝑞𝐸</w:t>
        <w:tab/>
      </w:r>
      <w:r>
        <w:rPr>
          <w:spacing w:val="9"/>
        </w:rPr>
        <w:t>···················································</w:t>
        <w:tab/>
      </w:r>
      <w:r>
        <w:rPr>
          <w:spacing w:val="-4"/>
        </w:rPr>
        <w:t>(11.1) </w:t>
      </w:r>
      <w:r>
        <w:rPr/>
        <w:t>The force causes the particle to accelerate in the electric field which is given</w:t>
      </w:r>
      <w:r>
        <w:rPr>
          <w:spacing w:val="-13"/>
        </w:rPr>
        <w:t> </w:t>
      </w:r>
      <w:r>
        <w:rPr/>
        <w:t>by</w:t>
      </w:r>
    </w:p>
    <w:p>
      <w:pPr>
        <w:pStyle w:val="BodyText"/>
        <w:tabs>
          <w:tab w:pos="3189" w:val="left" w:leader="none"/>
          <w:tab w:pos="7499" w:val="left" w:leader="none"/>
        </w:tabs>
        <w:spacing w:line="272" w:lineRule="exact"/>
        <w:ind w:left="1020"/>
      </w:pPr>
      <w:r>
        <w:rPr>
          <w:rFonts w:ascii="Symbola" w:hAnsi="Symbola" w:eastAsia="Symbola"/>
          <w:w w:val="105"/>
        </w:rPr>
        <w:t>𝑚𝑎</w:t>
      </w:r>
      <w:r>
        <w:rPr>
          <w:rFonts w:ascii="Symbola" w:hAnsi="Symbola" w:eastAsia="Symbola"/>
          <w:spacing w:val="17"/>
          <w:w w:val="105"/>
        </w:rPr>
        <w:t> </w:t>
      </w:r>
      <w:r>
        <w:rPr>
          <w:rFonts w:ascii="Symbola" w:hAnsi="Symbola" w:eastAsia="Symbola"/>
          <w:w w:val="105"/>
        </w:rPr>
        <w:t>=</w:t>
      </w:r>
      <w:r>
        <w:rPr>
          <w:rFonts w:ascii="Symbola" w:hAnsi="Symbola" w:eastAsia="Symbola"/>
          <w:spacing w:val="9"/>
          <w:w w:val="105"/>
        </w:rPr>
        <w:t> </w:t>
      </w:r>
      <w:r>
        <w:rPr>
          <w:rFonts w:ascii="Symbola" w:hAnsi="Symbola" w:eastAsia="Symbola"/>
          <w:w w:val="105"/>
        </w:rPr>
        <w:t>𝑞𝐸</w:t>
        <w:tab/>
      </w:r>
      <w:r>
        <w:rPr>
          <w:spacing w:val="9"/>
        </w:rPr>
        <w:t>···················································</w:t>
        <w:tab/>
      </w:r>
      <w:r>
        <w:rPr>
          <w:w w:val="105"/>
        </w:rPr>
        <w:t>(11.2)</w:t>
      </w:r>
    </w:p>
    <w:p>
      <w:pPr>
        <w:spacing w:after="0" w:line="272" w:lineRule="exact"/>
        <w:sectPr>
          <w:pgSz w:w="11910" w:h="16840"/>
          <w:pgMar w:header="722" w:footer="748" w:top="1300" w:bottom="940" w:left="1500" w:right="1480"/>
        </w:sectPr>
      </w:pPr>
    </w:p>
    <w:p>
      <w:pPr>
        <w:spacing w:line="168" w:lineRule="auto" w:before="170"/>
        <w:ind w:left="1020" w:right="0" w:firstLine="0"/>
        <w:jc w:val="left"/>
        <w:rPr>
          <w:rFonts w:ascii="Symbola" w:eastAsia="Symbola"/>
          <w:sz w:val="17"/>
        </w:rPr>
      </w:pPr>
      <w:r>
        <w:rPr/>
        <w:pict>
          <v:rect style="position:absolute;margin-left:148.559998pt;margin-top:17.705582pt;width:10.8pt;height:.841pt;mso-position-horizontal-relative:page;mso-position-vertical-relative:paragraph;z-index:-18458112" filled="true" fillcolor="#000000" stroked="false">
            <v:fill type="solid"/>
            <w10:wrap type="none"/>
          </v:rect>
        </w:pict>
      </w:r>
      <w:r>
        <w:rPr>
          <w:rFonts w:ascii="Symbola" w:eastAsia="Symbola"/>
          <w:position w:val="-13"/>
          <w:sz w:val="24"/>
        </w:rPr>
        <w:t>𝑎 =</w:t>
      </w:r>
      <w:r>
        <w:rPr>
          <w:rFonts w:ascii="Symbola" w:eastAsia="Symbola"/>
          <w:spacing w:val="30"/>
          <w:position w:val="-13"/>
          <w:sz w:val="24"/>
        </w:rPr>
        <w:t> </w:t>
      </w:r>
      <w:r>
        <w:rPr>
          <w:rFonts w:ascii="Symbola" w:eastAsia="Symbola"/>
          <w:sz w:val="17"/>
        </w:rPr>
        <w:t>𝑞𝐸</w:t>
      </w:r>
    </w:p>
    <w:p>
      <w:pPr>
        <w:spacing w:line="162" w:lineRule="exact" w:before="0"/>
        <w:ind w:left="0" w:right="65" w:firstLine="0"/>
        <w:jc w:val="right"/>
        <w:rPr>
          <w:rFonts w:ascii="Symbola" w:eastAsia="Symbola"/>
          <w:sz w:val="17"/>
        </w:rPr>
      </w:pPr>
      <w:r>
        <w:rPr>
          <w:rFonts w:ascii="Symbola" w:eastAsia="Symbola"/>
          <w:spacing w:val="-1"/>
          <w:w w:val="165"/>
          <w:sz w:val="17"/>
        </w:rPr>
        <w:t>𝑚</w:t>
      </w:r>
    </w:p>
    <w:p>
      <w:pPr>
        <w:pStyle w:val="BodyText"/>
        <w:tabs>
          <w:tab w:pos="4482" w:val="left" w:leader="none"/>
        </w:tabs>
        <w:spacing w:before="206"/>
        <w:ind w:left="172"/>
        <w:jc w:val="center"/>
      </w:pPr>
      <w:r>
        <w:rPr/>
        <w:br w:type="column"/>
      </w:r>
      <w:r>
        <w:rPr>
          <w:spacing w:val="9"/>
        </w:rPr>
        <w:t>···················································</w:t>
        <w:tab/>
      </w:r>
      <w:r>
        <w:rPr/>
        <w:t>(11.3)</w:t>
      </w:r>
    </w:p>
    <w:p>
      <w:pPr>
        <w:spacing w:after="0"/>
        <w:jc w:val="center"/>
        <w:sectPr>
          <w:type w:val="continuous"/>
          <w:pgSz w:w="11910" w:h="16840"/>
          <w:pgMar w:top="1300" w:bottom="940" w:left="1500" w:right="1480"/>
          <w:cols w:num="2" w:equalWidth="0">
            <w:col w:w="1725" w:space="445"/>
            <w:col w:w="6760"/>
          </w:cols>
        </w:sectPr>
      </w:pPr>
    </w:p>
    <w:p>
      <w:pPr>
        <w:pStyle w:val="BodyText"/>
        <w:spacing w:line="360" w:lineRule="auto" w:before="104"/>
        <w:ind w:left="1020" w:right="443"/>
      </w:pPr>
      <w:r>
        <w:rPr/>
        <w:t>where, </w:t>
      </w:r>
      <w:r>
        <w:rPr>
          <w:i/>
        </w:rPr>
        <w:t>m </w:t>
      </w:r>
      <w:r>
        <w:rPr/>
        <w:t>is the mass of the particle and </w:t>
      </w:r>
      <w:r>
        <w:rPr>
          <w:i/>
        </w:rPr>
        <w:t>a </w:t>
      </w:r>
      <w:r>
        <w:rPr/>
        <w:t>is the acceleration under the electrostatic force.</w:t>
      </w:r>
    </w:p>
    <w:p>
      <w:pPr>
        <w:spacing w:after="0" w:line="360" w:lineRule="auto"/>
        <w:sectPr>
          <w:type w:val="continuous"/>
          <w:pgSz w:w="11910" w:h="16840"/>
          <w:pgMar w:top="1300" w:bottom="940" w:left="1500" w:right="1480"/>
        </w:sectPr>
      </w:pPr>
    </w:p>
    <w:p>
      <w:pPr>
        <w:pStyle w:val="BodyText"/>
        <w:spacing w:before="119"/>
        <w:ind w:left="300"/>
      </w:pPr>
      <w:r>
        <w:rPr/>
        <w:t>Equation</w:t>
      </w:r>
      <w:r>
        <w:rPr>
          <w:spacing w:val="47"/>
        </w:rPr>
        <w:t> </w:t>
      </w:r>
      <w:r>
        <w:rPr/>
        <w:t>11.3</w:t>
      </w:r>
      <w:r>
        <w:rPr>
          <w:spacing w:val="47"/>
        </w:rPr>
        <w:t> </w:t>
      </w:r>
      <w:r>
        <w:rPr/>
        <w:t>shows</w:t>
      </w:r>
      <w:r>
        <w:rPr>
          <w:spacing w:val="47"/>
        </w:rPr>
        <w:t> </w:t>
      </w:r>
      <w:r>
        <w:rPr/>
        <w:t>that</w:t>
      </w:r>
      <w:r>
        <w:rPr>
          <w:spacing w:val="47"/>
        </w:rPr>
        <w:t> </w:t>
      </w:r>
      <w:r>
        <w:rPr/>
        <w:t>the</w:t>
      </w:r>
      <w:r>
        <w:rPr>
          <w:spacing w:val="46"/>
        </w:rPr>
        <w:t> </w:t>
      </w:r>
      <w:r>
        <w:rPr/>
        <w:t>acceleration</w:t>
      </w:r>
      <w:r>
        <w:rPr>
          <w:spacing w:val="47"/>
        </w:rPr>
        <w:t> </w:t>
      </w:r>
      <w:r>
        <w:rPr/>
        <w:t>of</w:t>
      </w:r>
      <w:r>
        <w:rPr>
          <w:spacing w:val="46"/>
        </w:rPr>
        <w:t> </w:t>
      </w:r>
      <w:r>
        <w:rPr/>
        <w:t>the</w:t>
      </w:r>
      <w:r>
        <w:rPr>
          <w:spacing w:val="47"/>
        </w:rPr>
        <w:t> </w:t>
      </w:r>
      <w:r>
        <w:rPr/>
        <w:t>particle</w:t>
      </w:r>
      <w:r>
        <w:rPr>
          <w:spacing w:val="48"/>
        </w:rPr>
        <w:t> </w:t>
      </w:r>
      <w:r>
        <w:rPr/>
        <w:t>depends</w:t>
      </w:r>
      <w:r>
        <w:rPr>
          <w:spacing w:val="47"/>
        </w:rPr>
        <w:t> </w:t>
      </w:r>
      <w:r>
        <w:rPr/>
        <w:t>on</w:t>
      </w:r>
      <w:r>
        <w:rPr>
          <w:spacing w:val="49"/>
        </w:rPr>
        <w:t> </w:t>
      </w:r>
      <w:r>
        <w:rPr/>
        <w:t>the</w:t>
      </w:r>
      <w:r>
        <w:rPr>
          <w:spacing w:val="46"/>
        </w:rPr>
        <w:t> </w:t>
      </w:r>
      <w:r>
        <w:rPr/>
        <w:t>mass</w:t>
      </w:r>
      <w:r>
        <w:rPr>
          <w:spacing w:val="47"/>
        </w:rPr>
        <w:t> </w:t>
      </w:r>
      <w:r>
        <w:rPr/>
        <w:t>to</w:t>
      </w:r>
    </w:p>
    <w:p>
      <w:pPr>
        <w:pStyle w:val="BodyText"/>
        <w:spacing w:line="243" w:lineRule="exact" w:before="176"/>
        <w:ind w:left="300"/>
      </w:pPr>
      <w:r>
        <w:rPr/>
        <w:pict>
          <v:rect style="position:absolute;margin-left:154.320007pt;margin-top:16.163128pt;width:8.040000pt;height:.84pt;mso-position-horizontal-relative:page;mso-position-vertical-relative:paragraph;z-index:-18457600" filled="true" fillcolor="#000000" stroked="false">
            <v:fill type="solid"/>
            <w10:wrap type="none"/>
          </v:rect>
        </w:pict>
      </w:r>
      <w:r>
        <w:rPr/>
        <w:t>charge</w:t>
      </w:r>
      <w:r>
        <w:rPr>
          <w:spacing w:val="15"/>
        </w:rPr>
        <w:t> </w:t>
      </w:r>
      <w:r>
        <w:rPr/>
        <w:t>ratio,</w:t>
      </w:r>
      <w:r>
        <w:rPr>
          <w:spacing w:val="16"/>
        </w:rPr>
        <w:t> </w:t>
      </w:r>
      <w:r>
        <w:rPr>
          <w:rFonts w:ascii="Symbola" w:eastAsia="Symbola"/>
          <w:vertAlign w:val="superscript"/>
        </w:rPr>
        <w:t>𝑚</w:t>
      </w:r>
      <w:r>
        <w:rPr>
          <w:vertAlign w:val="baseline"/>
        </w:rPr>
        <w:t>.</w:t>
      </w:r>
      <w:r>
        <w:rPr>
          <w:spacing w:val="14"/>
          <w:vertAlign w:val="baseline"/>
        </w:rPr>
        <w:t> </w:t>
      </w:r>
      <w:r>
        <w:rPr>
          <w:vertAlign w:val="baseline"/>
        </w:rPr>
        <w:t>A</w:t>
      </w:r>
      <w:r>
        <w:rPr>
          <w:spacing w:val="14"/>
          <w:vertAlign w:val="baseline"/>
        </w:rPr>
        <w:t> </w:t>
      </w:r>
      <w:r>
        <w:rPr>
          <w:vertAlign w:val="baseline"/>
        </w:rPr>
        <w:t>lighter</w:t>
      </w:r>
      <w:r>
        <w:rPr>
          <w:spacing w:val="15"/>
          <w:vertAlign w:val="baseline"/>
        </w:rPr>
        <w:t> </w:t>
      </w:r>
      <w:r>
        <w:rPr>
          <w:vertAlign w:val="baseline"/>
        </w:rPr>
        <w:t>particle</w:t>
      </w:r>
      <w:r>
        <w:rPr>
          <w:spacing w:val="13"/>
          <w:vertAlign w:val="baseline"/>
        </w:rPr>
        <w:t> </w:t>
      </w:r>
      <w:r>
        <w:rPr>
          <w:vertAlign w:val="baseline"/>
        </w:rPr>
        <w:t>is</w:t>
      </w:r>
      <w:r>
        <w:rPr>
          <w:spacing w:val="17"/>
          <w:vertAlign w:val="baseline"/>
        </w:rPr>
        <w:t> </w:t>
      </w:r>
      <w:r>
        <w:rPr>
          <w:vertAlign w:val="baseline"/>
        </w:rPr>
        <w:t>accelerated</w:t>
      </w:r>
      <w:r>
        <w:rPr>
          <w:spacing w:val="14"/>
          <w:vertAlign w:val="baseline"/>
        </w:rPr>
        <w:t> </w:t>
      </w:r>
      <w:r>
        <w:rPr>
          <w:vertAlign w:val="baseline"/>
        </w:rPr>
        <w:t>more</w:t>
      </w:r>
      <w:r>
        <w:rPr>
          <w:spacing w:val="13"/>
          <w:vertAlign w:val="baseline"/>
        </w:rPr>
        <w:t> </w:t>
      </w:r>
      <w:r>
        <w:rPr>
          <w:vertAlign w:val="baseline"/>
        </w:rPr>
        <w:t>than</w:t>
      </w:r>
      <w:r>
        <w:rPr>
          <w:spacing w:val="17"/>
          <w:vertAlign w:val="baseline"/>
        </w:rPr>
        <w:t> </w:t>
      </w:r>
      <w:r>
        <w:rPr>
          <w:vertAlign w:val="baseline"/>
        </w:rPr>
        <w:t>a</w:t>
      </w:r>
      <w:r>
        <w:rPr>
          <w:spacing w:val="15"/>
          <w:vertAlign w:val="baseline"/>
        </w:rPr>
        <w:t> </w:t>
      </w:r>
      <w:r>
        <w:rPr>
          <w:vertAlign w:val="baseline"/>
        </w:rPr>
        <w:t>heavier</w:t>
      </w:r>
      <w:r>
        <w:rPr>
          <w:spacing w:val="13"/>
          <w:vertAlign w:val="baseline"/>
        </w:rPr>
        <w:t> </w:t>
      </w:r>
      <w:r>
        <w:rPr>
          <w:vertAlign w:val="baseline"/>
        </w:rPr>
        <w:t>particle</w:t>
      </w:r>
      <w:r>
        <w:rPr>
          <w:spacing w:val="13"/>
          <w:vertAlign w:val="baseline"/>
        </w:rPr>
        <w:t> </w:t>
      </w:r>
      <w:r>
        <w:rPr>
          <w:vertAlign w:val="baseline"/>
        </w:rPr>
        <w:t>carrying</w:t>
      </w:r>
    </w:p>
    <w:p>
      <w:pPr>
        <w:spacing w:line="137" w:lineRule="exact" w:before="0"/>
        <w:ind w:left="1612" w:right="0" w:firstLine="0"/>
        <w:jc w:val="left"/>
        <w:rPr>
          <w:rFonts w:ascii="Symbola" w:eastAsia="Symbola"/>
          <w:sz w:val="17"/>
        </w:rPr>
      </w:pPr>
      <w:r>
        <w:rPr>
          <w:rFonts w:ascii="Symbola" w:eastAsia="Symbola"/>
          <w:w w:val="105"/>
          <w:sz w:val="17"/>
        </w:rPr>
        <w:t>𝑞</w:t>
      </w:r>
    </w:p>
    <w:p>
      <w:pPr>
        <w:pStyle w:val="BodyText"/>
        <w:spacing w:line="360" w:lineRule="auto" w:before="135"/>
        <w:ind w:left="300" w:right="443"/>
      </w:pPr>
      <w:r>
        <w:rPr/>
        <w:t>the same charge. Similarly, a particle with higher charge is accelerated more as compared to the particle of same mass but having lesser charge.</w:t>
      </w:r>
    </w:p>
    <w:p>
      <w:pPr>
        <w:pStyle w:val="BodyText"/>
        <w:spacing w:line="360" w:lineRule="auto"/>
        <w:ind w:left="300" w:right="443"/>
      </w:pPr>
      <w:r>
        <w:rPr/>
        <w:t>In a magnetic field, a moving charged particle experiences a force, </w:t>
      </w:r>
      <w:r>
        <w:rPr>
          <w:i/>
        </w:rPr>
        <w:t>F </w:t>
      </w:r>
      <w:r>
        <w:rPr/>
        <w:t>that is given by the Lorentz force law:</w:t>
      </w:r>
    </w:p>
    <w:p>
      <w:pPr>
        <w:pStyle w:val="BodyText"/>
        <w:tabs>
          <w:tab w:pos="3189" w:val="left" w:leader="none"/>
          <w:tab w:pos="7499" w:val="left" w:leader="none"/>
        </w:tabs>
        <w:spacing w:line="367" w:lineRule="auto" w:before="2"/>
        <w:ind w:left="1020" w:right="443"/>
      </w:pPr>
      <w:r>
        <w:rPr>
          <w:rFonts w:ascii="Symbola" w:hAnsi="Symbola" w:eastAsia="Symbola"/>
        </w:rPr>
        <w:t>𝐹  = 𝑞 (𝑣</w:t>
      </w:r>
      <w:r>
        <w:rPr>
          <w:rFonts w:ascii="Symbola" w:hAnsi="Symbola" w:eastAsia="Symbola"/>
          <w:spacing w:val="36"/>
        </w:rPr>
        <w:t> </w:t>
      </w:r>
      <w:r>
        <w:rPr>
          <w:rFonts w:ascii="Symbola" w:hAnsi="Symbola" w:eastAsia="Symbola"/>
        </w:rPr>
        <w:t>×</w:t>
      </w:r>
      <w:r>
        <w:rPr>
          <w:rFonts w:ascii="Symbola" w:hAnsi="Symbola" w:eastAsia="Symbola"/>
          <w:spacing w:val="54"/>
        </w:rPr>
        <w:t> </w:t>
      </w:r>
      <w:r>
        <w:rPr>
          <w:rFonts w:ascii="Symbola" w:hAnsi="Symbola" w:eastAsia="Symbola"/>
          <w:spacing w:val="2"/>
        </w:rPr>
        <w:t>𝐵)</w:t>
        <w:tab/>
      </w:r>
      <w:r>
        <w:rPr>
          <w:spacing w:val="9"/>
        </w:rPr>
        <w:t>···················································</w:t>
        <w:tab/>
      </w:r>
      <w:r>
        <w:rPr/>
        <w:t>(11.4) where, </w:t>
      </w:r>
      <w:r>
        <w:rPr>
          <w:rFonts w:ascii="Symbola" w:hAnsi="Symbola" w:eastAsia="Symbola"/>
        </w:rPr>
        <w:t>𝑣 </w:t>
      </w:r>
      <w:r>
        <w:rPr/>
        <w:t>is the velocity of the moving charged particle and B is the magnetic field</w:t>
      </w:r>
      <w:r>
        <w:rPr>
          <w:spacing w:val="-1"/>
        </w:rPr>
        <w:t> </w:t>
      </w:r>
      <w:r>
        <w:rPr/>
        <w:t>strength.</w:t>
      </w:r>
    </w:p>
    <w:p>
      <w:pPr>
        <w:pStyle w:val="BodyText"/>
        <w:spacing w:line="362" w:lineRule="auto"/>
        <w:ind w:left="300" w:right="317"/>
        <w:jc w:val="both"/>
      </w:pPr>
      <w:r>
        <w:rPr/>
        <w:t>The direction of the force can be determined using the right hand rule; If the fingers represent the magnetic field (</w:t>
      </w:r>
      <w:r>
        <w:rPr>
          <w:i/>
        </w:rPr>
        <w:t>B</w:t>
      </w:r>
      <w:r>
        <w:rPr/>
        <w:t>) and the thumb represents the velocity </w:t>
      </w:r>
      <w:r>
        <w:rPr>
          <w:rFonts w:ascii="Symbola" w:eastAsia="Symbola"/>
        </w:rPr>
        <w:t>(𝑣)</w:t>
      </w:r>
      <w:r>
        <w:rPr/>
        <w:t>, then the direction of the force is given by the direction of the palm (Figure 11.2A). As the force is always perpendicular to the velocity, the deflected particle moves in a circular path (Figure</w:t>
      </w:r>
      <w:r>
        <w:rPr>
          <w:spacing w:val="-2"/>
        </w:rPr>
        <w:t> </w:t>
      </w:r>
      <w:r>
        <w:rPr/>
        <w:t>11.2B).</w:t>
      </w:r>
    </w:p>
    <w:p>
      <w:pPr>
        <w:pStyle w:val="BodyText"/>
        <w:ind w:left="754"/>
        <w:rPr>
          <w:sz w:val="20"/>
        </w:rPr>
      </w:pPr>
      <w:r>
        <w:rPr>
          <w:sz w:val="20"/>
        </w:rPr>
        <w:drawing>
          <wp:inline distT="0" distB="0" distL="0" distR="0">
            <wp:extent cx="4895327" cy="2569082"/>
            <wp:effectExtent l="0" t="0" r="0" b="0"/>
            <wp:docPr id="125" name="image67.jpeg" descr="Figure 11.2.tif"/>
            <wp:cNvGraphicFramePr>
              <a:graphicFrameLocks noChangeAspect="1"/>
            </wp:cNvGraphicFramePr>
            <a:graphic>
              <a:graphicData uri="http://schemas.openxmlformats.org/drawingml/2006/picture">
                <pic:pic>
                  <pic:nvPicPr>
                    <pic:cNvPr id="126" name="image67.jpeg"/>
                    <pic:cNvPicPr/>
                  </pic:nvPicPr>
                  <pic:blipFill>
                    <a:blip r:embed="rId75" cstate="print"/>
                    <a:stretch>
                      <a:fillRect/>
                    </a:stretch>
                  </pic:blipFill>
                  <pic:spPr>
                    <a:xfrm>
                      <a:off x="0" y="0"/>
                      <a:ext cx="4895327" cy="2569082"/>
                    </a:xfrm>
                    <a:prstGeom prst="rect">
                      <a:avLst/>
                    </a:prstGeom>
                  </pic:spPr>
                </pic:pic>
              </a:graphicData>
            </a:graphic>
          </wp:inline>
        </w:drawing>
      </w:r>
      <w:r>
        <w:rPr>
          <w:sz w:val="20"/>
        </w:rPr>
      </w:r>
    </w:p>
    <w:p>
      <w:pPr>
        <w:pStyle w:val="BodyText"/>
        <w:rPr>
          <w:sz w:val="36"/>
        </w:rPr>
      </w:pPr>
    </w:p>
    <w:p>
      <w:pPr>
        <w:spacing w:line="362" w:lineRule="auto" w:before="0"/>
        <w:ind w:left="496" w:right="308" w:firstLine="0"/>
        <w:jc w:val="left"/>
        <w:rPr>
          <w:b/>
          <w:sz w:val="16"/>
        </w:rPr>
      </w:pPr>
      <w:r>
        <w:rPr>
          <w:b/>
          <w:sz w:val="16"/>
        </w:rPr>
        <w:t>Figure 11.2 The right hand rule showing the direction of the Lorentz force in a magnetic field (A) and the circular path taken by the particle (B).</w:t>
      </w:r>
    </w:p>
    <w:p>
      <w:pPr>
        <w:pStyle w:val="BodyText"/>
        <w:rPr>
          <w:b/>
          <w:sz w:val="18"/>
        </w:rPr>
      </w:pPr>
    </w:p>
    <w:p>
      <w:pPr>
        <w:pStyle w:val="BodyText"/>
        <w:spacing w:before="7"/>
        <w:rPr>
          <w:b/>
          <w:sz w:val="19"/>
        </w:rPr>
      </w:pPr>
    </w:p>
    <w:p>
      <w:pPr>
        <w:pStyle w:val="BodyText"/>
        <w:spacing w:line="360" w:lineRule="auto"/>
        <w:ind w:left="300" w:right="321"/>
        <w:jc w:val="both"/>
      </w:pPr>
      <w:r>
        <w:rPr/>
        <w:t>The Lorentz force therefore provides the particle a centripetal force. Therefore, equation 11.4 can be written as</w:t>
      </w:r>
    </w:p>
    <w:p>
      <w:pPr>
        <w:pStyle w:val="BodyText"/>
        <w:tabs>
          <w:tab w:pos="3189" w:val="left" w:leader="none"/>
          <w:tab w:pos="7499" w:val="left" w:leader="none"/>
        </w:tabs>
        <w:spacing w:line="329" w:lineRule="exact" w:before="16"/>
        <w:ind w:left="1020"/>
      </w:pPr>
      <w:r>
        <w:rPr/>
        <w:pict>
          <v:rect style="position:absolute;margin-left:126pt;margin-top:12.449259pt;width:17.760pt;height:.84pt;mso-position-horizontal-relative:page;mso-position-vertical-relative:paragraph;z-index:-18457088" filled="true" fillcolor="#000000" stroked="false">
            <v:fill type="solid"/>
            <w10:wrap type="none"/>
          </v:rect>
        </w:pict>
      </w:r>
      <w:r>
        <w:rPr>
          <w:rFonts w:ascii="Symbola" w:hAnsi="Symbola" w:eastAsia="Symbola"/>
          <w:spacing w:val="2"/>
          <w:w w:val="105"/>
          <w:position w:val="14"/>
          <w:sz w:val="17"/>
        </w:rPr>
        <w:t>𝑚𝑣</w:t>
      </w:r>
      <w:r>
        <w:rPr>
          <w:rFonts w:ascii="Symbola" w:hAnsi="Symbola" w:eastAsia="Symbola"/>
          <w:spacing w:val="2"/>
          <w:w w:val="105"/>
          <w:position w:val="20"/>
          <w:sz w:val="14"/>
        </w:rPr>
        <w:t>2  </w:t>
      </w:r>
      <w:r>
        <w:rPr>
          <w:rFonts w:ascii="Symbola" w:hAnsi="Symbola" w:eastAsia="Symbola"/>
          <w:w w:val="105"/>
        </w:rPr>
        <w:t>= 𝑞 (𝑣 </w:t>
      </w:r>
      <w:r>
        <w:rPr>
          <w:rFonts w:ascii="Symbola" w:hAnsi="Symbola" w:eastAsia="Symbola"/>
          <w:spacing w:val="8"/>
          <w:w w:val="105"/>
        </w:rPr>
        <w:t> </w:t>
      </w:r>
      <w:r>
        <w:rPr>
          <w:rFonts w:ascii="Symbola" w:hAnsi="Symbola" w:eastAsia="Symbola"/>
          <w:w w:val="105"/>
        </w:rPr>
        <w:t>×</w:t>
      </w:r>
      <w:r>
        <w:rPr>
          <w:rFonts w:ascii="Symbola" w:hAnsi="Symbola" w:eastAsia="Symbola"/>
          <w:spacing w:val="50"/>
          <w:w w:val="105"/>
        </w:rPr>
        <w:t> </w:t>
      </w:r>
      <w:r>
        <w:rPr>
          <w:rFonts w:ascii="Symbola" w:hAnsi="Symbola" w:eastAsia="Symbola"/>
          <w:spacing w:val="4"/>
          <w:w w:val="105"/>
        </w:rPr>
        <w:t>𝐵)</w:t>
        <w:tab/>
      </w:r>
      <w:r>
        <w:rPr>
          <w:spacing w:val="9"/>
        </w:rPr>
        <w:t>···················································</w:t>
        <w:tab/>
      </w:r>
      <w:r>
        <w:rPr>
          <w:w w:val="105"/>
        </w:rPr>
        <w:t>(11.5)</w:t>
      </w:r>
    </w:p>
    <w:p>
      <w:pPr>
        <w:spacing w:line="137" w:lineRule="exact" w:before="0"/>
        <w:ind w:left="1149" w:right="0" w:firstLine="0"/>
        <w:jc w:val="left"/>
        <w:rPr>
          <w:rFonts w:ascii="Symbola" w:eastAsia="Symbola"/>
          <w:sz w:val="17"/>
        </w:rPr>
      </w:pPr>
      <w:r>
        <w:rPr>
          <w:rFonts w:ascii="Symbola" w:eastAsia="Symbola"/>
          <w:sz w:val="17"/>
        </w:rPr>
        <w:t>𝑟</w:t>
      </w:r>
    </w:p>
    <w:p>
      <w:pPr>
        <w:pStyle w:val="BodyText"/>
        <w:spacing w:before="101"/>
        <w:ind w:left="1020"/>
      </w:pPr>
      <w:r>
        <w:rPr/>
        <w:t>where, </w:t>
      </w:r>
      <w:r>
        <w:rPr>
          <w:i/>
        </w:rPr>
        <w:t>r </w:t>
      </w:r>
      <w:r>
        <w:rPr/>
        <w:t>is the radius of the circular path</w:t>
      </w:r>
    </w:p>
    <w:p>
      <w:pPr>
        <w:spacing w:after="0"/>
        <w:sectPr>
          <w:pgSz w:w="11910" w:h="16840"/>
          <w:pgMar w:header="722" w:footer="748" w:top="1300" w:bottom="940" w:left="1500" w:right="1480"/>
        </w:sectPr>
      </w:pPr>
    </w:p>
    <w:p>
      <w:pPr>
        <w:pStyle w:val="BodyText"/>
        <w:spacing w:before="119"/>
        <w:ind w:left="260"/>
        <w:jc w:val="center"/>
      </w:pPr>
      <w:r>
        <w:rPr/>
        <w:t>Rearranging in terms of </w:t>
      </w:r>
      <w:r>
        <w:rPr>
          <w:i/>
        </w:rPr>
        <w:t>r</w:t>
      </w:r>
      <w:r>
        <w:rPr/>
        <w:t>:</w:t>
      </w:r>
    </w:p>
    <w:p>
      <w:pPr>
        <w:tabs>
          <w:tab w:pos="878" w:val="left" w:leader="none"/>
        </w:tabs>
        <w:spacing w:line="199" w:lineRule="auto" w:before="159"/>
        <w:ind w:left="230" w:right="0" w:firstLine="0"/>
        <w:jc w:val="center"/>
        <w:rPr>
          <w:rFonts w:ascii="Symbola" w:eastAsia="Symbola"/>
          <w:sz w:val="14"/>
        </w:rPr>
      </w:pPr>
      <w:r>
        <w:rPr/>
        <w:pict>
          <v:rect style="position:absolute;margin-left:150.240005pt;margin-top:19.268557pt;width:36pt;height:.841pt;mso-position-horizontal-relative:page;mso-position-vertical-relative:paragraph;z-index:-18456064" filled="true" fillcolor="#000000" stroked="false">
            <v:fill type="solid"/>
            <w10:wrap type="none"/>
          </v:rect>
        </w:pict>
      </w:r>
      <w:r>
        <w:rPr>
          <w:rFonts w:ascii="Symbola" w:eastAsia="Symbola"/>
          <w:w w:val="105"/>
          <w:position w:val="-13"/>
          <w:sz w:val="24"/>
        </w:rPr>
        <w:t>𝑟</w:t>
      </w:r>
      <w:r>
        <w:rPr>
          <w:rFonts w:ascii="Symbola" w:eastAsia="Symbola"/>
          <w:spacing w:val="-3"/>
          <w:w w:val="105"/>
          <w:position w:val="-13"/>
          <w:sz w:val="24"/>
        </w:rPr>
        <w:t> </w:t>
      </w:r>
      <w:r>
        <w:rPr>
          <w:rFonts w:ascii="Symbola" w:eastAsia="Symbola"/>
          <w:w w:val="105"/>
          <w:position w:val="-13"/>
          <w:sz w:val="24"/>
        </w:rPr>
        <w:t>=</w:t>
        <w:tab/>
      </w:r>
      <w:r>
        <w:rPr>
          <w:rFonts w:ascii="Symbola" w:eastAsia="Symbola"/>
          <w:w w:val="145"/>
          <w:sz w:val="17"/>
        </w:rPr>
        <w:t>𝑚</w:t>
      </w:r>
      <w:r>
        <w:rPr>
          <w:rFonts w:ascii="Symbola" w:eastAsia="Symbola"/>
          <w:spacing w:val="-19"/>
          <w:w w:val="145"/>
          <w:sz w:val="17"/>
        </w:rPr>
        <w:t> </w:t>
      </w:r>
      <w:r>
        <w:rPr>
          <w:rFonts w:ascii="Symbola" w:eastAsia="Symbola"/>
          <w:spacing w:val="3"/>
          <w:w w:val="105"/>
          <w:sz w:val="17"/>
        </w:rPr>
        <w:t>𝑣</w:t>
      </w:r>
      <w:r>
        <w:rPr>
          <w:rFonts w:ascii="Symbola" w:eastAsia="Symbola"/>
          <w:spacing w:val="3"/>
          <w:w w:val="105"/>
          <w:position w:val="6"/>
          <w:sz w:val="14"/>
        </w:rPr>
        <w:t>2</w:t>
      </w:r>
    </w:p>
    <w:p>
      <w:pPr>
        <w:spacing w:line="139" w:lineRule="exact" w:before="0"/>
        <w:ind w:left="1504" w:right="0" w:firstLine="0"/>
        <w:jc w:val="left"/>
        <w:rPr>
          <w:rFonts w:ascii="Symbola" w:eastAsia="Symbola"/>
          <w:sz w:val="17"/>
        </w:rPr>
      </w:pPr>
      <w:r>
        <w:rPr>
          <w:rFonts w:ascii="Symbola" w:eastAsia="Symbola"/>
          <w:w w:val="105"/>
          <w:sz w:val="17"/>
        </w:rPr>
        <w:t>𝑞𝑣𝐵 𝑠𝑖𝑛𝜃</w:t>
      </w:r>
    </w:p>
    <w:p>
      <w:pPr>
        <w:tabs>
          <w:tab w:pos="1706" w:val="left" w:leader="none"/>
        </w:tabs>
        <w:spacing w:line="168" w:lineRule="auto" w:before="137"/>
        <w:ind w:left="1020" w:right="0" w:firstLine="0"/>
        <w:jc w:val="left"/>
        <w:rPr>
          <w:rFonts w:ascii="Symbola" w:eastAsia="Symbola"/>
          <w:sz w:val="17"/>
        </w:rPr>
      </w:pPr>
      <w:r>
        <w:rPr/>
        <w:pict>
          <v:rect style="position:absolute;margin-left:150.240005pt;margin-top:16.055574pt;width:31.2pt;height:.841pt;mso-position-horizontal-relative:page;mso-position-vertical-relative:paragraph;z-index:-18455552" filled="true" fillcolor="#000000" stroked="false">
            <v:fill type="solid"/>
            <w10:wrap type="none"/>
          </v:rect>
        </w:pict>
      </w:r>
      <w:r>
        <w:rPr>
          <w:rFonts w:ascii="Symbola" w:eastAsia="Symbola"/>
          <w:w w:val="105"/>
          <w:position w:val="-13"/>
          <w:sz w:val="24"/>
        </w:rPr>
        <w:t>𝑟</w:t>
      </w:r>
      <w:r>
        <w:rPr>
          <w:rFonts w:ascii="Symbola" w:eastAsia="Symbola"/>
          <w:spacing w:val="-4"/>
          <w:w w:val="105"/>
          <w:position w:val="-13"/>
          <w:sz w:val="24"/>
        </w:rPr>
        <w:t> </w:t>
      </w:r>
      <w:r>
        <w:rPr>
          <w:rFonts w:ascii="Symbola" w:eastAsia="Symbola"/>
          <w:w w:val="105"/>
          <w:position w:val="-13"/>
          <w:sz w:val="24"/>
        </w:rPr>
        <w:t>=</w:t>
        <w:tab/>
      </w:r>
      <w:r>
        <w:rPr>
          <w:rFonts w:ascii="Symbola" w:eastAsia="Symbola"/>
          <w:w w:val="115"/>
          <w:sz w:val="17"/>
        </w:rPr>
        <w:t>𝑚𝑣</w:t>
      </w:r>
    </w:p>
    <w:p>
      <w:pPr>
        <w:spacing w:line="162" w:lineRule="exact" w:before="0"/>
        <w:ind w:left="1504" w:right="0" w:firstLine="0"/>
        <w:jc w:val="left"/>
        <w:rPr>
          <w:rFonts w:ascii="Symbola" w:eastAsia="Symbola"/>
          <w:sz w:val="17"/>
        </w:rPr>
      </w:pPr>
      <w:r>
        <w:rPr>
          <w:rFonts w:ascii="Symbola" w:eastAsia="Symbola"/>
          <w:w w:val="105"/>
          <w:sz w:val="17"/>
        </w:rPr>
        <w:t>𝑞𝐵 𝑠𝑖𝑛𝜃</w:t>
      </w:r>
    </w:p>
    <w:p>
      <w:pPr>
        <w:pStyle w:val="BodyText"/>
        <w:rPr>
          <w:rFonts w:ascii="Symbola"/>
          <w:sz w:val="26"/>
        </w:rPr>
      </w:pPr>
      <w:r>
        <w:rPr/>
        <w:br w:type="column"/>
      </w:r>
      <w:r>
        <w:rPr>
          <w:rFonts w:ascii="Symbola"/>
          <w:sz w:val="26"/>
        </w:rPr>
      </w:r>
    </w:p>
    <w:p>
      <w:pPr>
        <w:pStyle w:val="BodyText"/>
        <w:spacing w:before="3"/>
        <w:rPr>
          <w:rFonts w:ascii="Symbola"/>
          <w:sz w:val="37"/>
        </w:rPr>
      </w:pPr>
    </w:p>
    <w:p>
      <w:pPr>
        <w:pStyle w:val="BodyText"/>
        <w:tabs>
          <w:tab w:pos="4609" w:val="left" w:leader="none"/>
        </w:tabs>
        <w:ind w:left="300"/>
      </w:pPr>
      <w:r>
        <w:rPr>
          <w:spacing w:val="9"/>
        </w:rPr>
        <w:t>···················································</w:t>
        <w:tab/>
      </w:r>
      <w:r>
        <w:rPr/>
        <w:t>(11.6)</w:t>
      </w:r>
    </w:p>
    <w:p>
      <w:pPr>
        <w:pStyle w:val="BodyText"/>
        <w:spacing w:before="2"/>
      </w:pPr>
    </w:p>
    <w:p>
      <w:pPr>
        <w:pStyle w:val="BodyText"/>
        <w:tabs>
          <w:tab w:pos="4609" w:val="left" w:leader="none"/>
        </w:tabs>
        <w:ind w:left="300"/>
      </w:pPr>
      <w:r>
        <w:rPr>
          <w:spacing w:val="9"/>
        </w:rPr>
        <w:t>···················································</w:t>
        <w:tab/>
      </w:r>
      <w:r>
        <w:rPr/>
        <w:t>(11.7)</w:t>
      </w:r>
    </w:p>
    <w:p>
      <w:pPr>
        <w:spacing w:after="0"/>
        <w:sectPr>
          <w:pgSz w:w="11910" w:h="16840"/>
          <w:pgMar w:header="722" w:footer="748" w:top="1300" w:bottom="940" w:left="1500" w:right="1480"/>
          <w:cols w:num="2" w:equalWidth="0">
            <w:col w:w="2846" w:space="44"/>
            <w:col w:w="6040"/>
          </w:cols>
        </w:sectPr>
      </w:pPr>
    </w:p>
    <w:p>
      <w:pPr>
        <w:pStyle w:val="BodyText"/>
        <w:spacing w:line="360" w:lineRule="auto" w:before="135"/>
        <w:ind w:left="1020" w:right="443"/>
      </w:pPr>
      <w:r>
        <w:rPr/>
        <w:t>where, </w:t>
      </w:r>
      <w:r>
        <w:rPr>
          <w:i/>
        </w:rPr>
        <w:t>θ </w:t>
      </w:r>
      <w:r>
        <w:rPr/>
        <w:t>is the angle between the velocity vector, </w:t>
      </w:r>
      <w:r>
        <w:rPr>
          <w:i/>
        </w:rPr>
        <w:t>v </w:t>
      </w:r>
      <w:r>
        <w:rPr/>
        <w:t>and the magnetic field vector, </w:t>
      </w:r>
      <w:r>
        <w:rPr>
          <w:i/>
        </w:rPr>
        <w:t>B</w:t>
      </w:r>
      <w:r>
        <w:rPr/>
        <w:t>.</w:t>
      </w:r>
    </w:p>
    <w:p>
      <w:pPr>
        <w:pStyle w:val="BodyText"/>
        <w:ind w:left="300"/>
      </w:pPr>
      <w:r>
        <w:rPr/>
        <w:t>In a mass spectrometer, </w:t>
      </w:r>
      <w:r>
        <w:rPr>
          <w:i/>
        </w:rPr>
        <w:t>v </w:t>
      </w:r>
      <w:r>
        <w:rPr/>
        <w:t>and </w:t>
      </w:r>
      <w:r>
        <w:rPr>
          <w:i/>
        </w:rPr>
        <w:t>B </w:t>
      </w:r>
      <w:r>
        <w:rPr/>
        <w:t>are generally orthogonal to each other; in that case:</w:t>
      </w:r>
    </w:p>
    <w:p>
      <w:pPr>
        <w:spacing w:after="0"/>
        <w:sectPr>
          <w:type w:val="continuous"/>
          <w:pgSz w:w="11910" w:h="16840"/>
          <w:pgMar w:top="1300" w:bottom="940" w:left="1500" w:right="1480"/>
        </w:sectPr>
      </w:pPr>
    </w:p>
    <w:p>
      <w:pPr>
        <w:spacing w:line="168" w:lineRule="auto" w:before="141"/>
        <w:ind w:left="1020" w:right="0" w:firstLine="0"/>
        <w:jc w:val="left"/>
        <w:rPr>
          <w:rFonts w:ascii="Symbola" w:eastAsia="Symbola"/>
          <w:sz w:val="17"/>
        </w:rPr>
      </w:pPr>
      <w:r>
        <w:rPr/>
        <w:pict>
          <v:rect style="position:absolute;margin-left:150.240005pt;margin-top:16.256569pt;width:14.881pt;height:.84pt;mso-position-horizontal-relative:page;mso-position-vertical-relative:paragraph;z-index:-18455040" filled="true" fillcolor="#000000" stroked="false">
            <v:fill type="solid"/>
            <w10:wrap type="none"/>
          </v:rect>
        </w:pict>
      </w:r>
      <w:r>
        <w:rPr>
          <w:rFonts w:ascii="Symbola" w:eastAsia="Symbola"/>
          <w:w w:val="105"/>
          <w:position w:val="-13"/>
          <w:sz w:val="24"/>
        </w:rPr>
        <w:t>𝑟 = </w:t>
      </w:r>
      <w:r>
        <w:rPr>
          <w:rFonts w:ascii="Symbola" w:eastAsia="Symbola"/>
          <w:spacing w:val="29"/>
          <w:w w:val="105"/>
          <w:position w:val="-13"/>
          <w:sz w:val="24"/>
        </w:rPr>
        <w:t> </w:t>
      </w:r>
      <w:r>
        <w:rPr>
          <w:rFonts w:ascii="Symbola" w:eastAsia="Symbola"/>
          <w:w w:val="115"/>
          <w:sz w:val="17"/>
        </w:rPr>
        <w:t>𝑚𝑣</w:t>
      </w:r>
    </w:p>
    <w:p>
      <w:pPr>
        <w:spacing w:line="162" w:lineRule="exact" w:before="0"/>
        <w:ind w:left="0" w:right="71" w:firstLine="0"/>
        <w:jc w:val="right"/>
        <w:rPr>
          <w:rFonts w:ascii="Symbola" w:eastAsia="Symbola"/>
          <w:sz w:val="17"/>
        </w:rPr>
      </w:pPr>
      <w:r>
        <w:rPr>
          <w:rFonts w:ascii="Symbola" w:eastAsia="Symbola"/>
          <w:w w:val="110"/>
          <w:sz w:val="17"/>
        </w:rPr>
        <w:t>𝑞𝐵</w:t>
      </w:r>
    </w:p>
    <w:p>
      <w:pPr>
        <w:pStyle w:val="BodyText"/>
        <w:tabs>
          <w:tab w:pos="4482" w:val="left" w:leader="none"/>
        </w:tabs>
        <w:spacing w:before="178"/>
        <w:ind w:left="172"/>
        <w:jc w:val="center"/>
      </w:pPr>
      <w:r>
        <w:rPr/>
        <w:br w:type="column"/>
      </w:r>
      <w:r>
        <w:rPr>
          <w:spacing w:val="9"/>
        </w:rPr>
        <w:t>···················································</w:t>
        <w:tab/>
      </w:r>
      <w:r>
        <w:rPr/>
        <w:t>(11.8)</w:t>
      </w:r>
    </w:p>
    <w:p>
      <w:pPr>
        <w:spacing w:after="0"/>
        <w:jc w:val="center"/>
        <w:sectPr>
          <w:type w:val="continuous"/>
          <w:pgSz w:w="11910" w:h="16840"/>
          <w:pgMar w:top="1300" w:bottom="940" w:left="1500" w:right="1480"/>
          <w:cols w:num="2" w:equalWidth="0">
            <w:col w:w="1838" w:space="332"/>
            <w:col w:w="6760"/>
          </w:cols>
        </w:sectPr>
      </w:pPr>
    </w:p>
    <w:p>
      <w:pPr>
        <w:pStyle w:val="BodyText"/>
        <w:spacing w:line="362" w:lineRule="auto" w:before="133"/>
        <w:ind w:left="300" w:right="316"/>
        <w:jc w:val="both"/>
      </w:pPr>
      <w:r>
        <w:rPr/>
        <w:t>Equation 11.8 shows that the deflection caused by a magnetic field in a moving charged particle is proportional to the mass to charge ratio. For the two particles having same charge but different masses, the one with lesser momentum deflects more (</w:t>
      </w:r>
      <w:r>
        <w:rPr>
          <w:rFonts w:ascii="Symbola" w:hAnsi="Symbola" w:eastAsia="Symbola"/>
        </w:rPr>
        <w:t>𝑟 ∝ 𝑚𝑣 </w:t>
      </w:r>
      <w:r>
        <w:rPr/>
        <w:t>and smaller </w:t>
      </w:r>
      <w:r>
        <w:rPr>
          <w:rFonts w:ascii="Symbola" w:hAnsi="Symbola" w:eastAsia="Symbola"/>
        </w:rPr>
        <w:t>𝑟 </w:t>
      </w:r>
      <w:r>
        <w:rPr/>
        <w:t>means larger deflection). In mass spectroscopy, the charge</w:t>
      </w:r>
      <w:r>
        <w:rPr>
          <w:spacing w:val="10"/>
        </w:rPr>
        <w:t> </w:t>
      </w:r>
      <w:r>
        <w:rPr/>
        <w:t>is</w:t>
      </w:r>
      <w:r>
        <w:rPr>
          <w:spacing w:val="11"/>
        </w:rPr>
        <w:t> </w:t>
      </w:r>
      <w:r>
        <w:rPr/>
        <w:t>usually</w:t>
      </w:r>
      <w:r>
        <w:rPr>
          <w:spacing w:val="7"/>
        </w:rPr>
        <w:t> </w:t>
      </w:r>
      <w:r>
        <w:rPr/>
        <w:t>represented</w:t>
      </w:r>
      <w:r>
        <w:rPr>
          <w:spacing w:val="11"/>
        </w:rPr>
        <w:t> </w:t>
      </w:r>
      <w:r>
        <w:rPr/>
        <w:t>as</w:t>
      </w:r>
      <w:r>
        <w:rPr>
          <w:spacing w:val="12"/>
        </w:rPr>
        <w:t> </w:t>
      </w:r>
      <w:r>
        <w:rPr>
          <w:i/>
        </w:rPr>
        <w:t>z</w:t>
      </w:r>
      <w:r>
        <w:rPr>
          <w:i/>
          <w:spacing w:val="11"/>
        </w:rPr>
        <w:t> </w:t>
      </w:r>
      <w:r>
        <w:rPr/>
        <w:t>and</w:t>
      </w:r>
      <w:r>
        <w:rPr>
          <w:spacing w:val="12"/>
        </w:rPr>
        <w:t> </w:t>
      </w:r>
      <w:r>
        <w:rPr/>
        <w:t>we</w:t>
      </w:r>
      <w:r>
        <w:rPr>
          <w:spacing w:val="10"/>
        </w:rPr>
        <w:t> </w:t>
      </w:r>
      <w:r>
        <w:rPr/>
        <w:t>shall</w:t>
      </w:r>
      <w:r>
        <w:rPr>
          <w:spacing w:val="11"/>
        </w:rPr>
        <w:t> </w:t>
      </w:r>
      <w:r>
        <w:rPr/>
        <w:t>be</w:t>
      </w:r>
      <w:r>
        <w:rPr>
          <w:spacing w:val="13"/>
        </w:rPr>
        <w:t> </w:t>
      </w:r>
      <w:r>
        <w:rPr/>
        <w:t>sticking</w:t>
      </w:r>
      <w:r>
        <w:rPr>
          <w:spacing w:val="8"/>
        </w:rPr>
        <w:t> </w:t>
      </w:r>
      <w:r>
        <w:rPr/>
        <w:t>to</w:t>
      </w:r>
      <w:r>
        <w:rPr>
          <w:spacing w:val="12"/>
        </w:rPr>
        <w:t> </w:t>
      </w:r>
      <w:r>
        <w:rPr/>
        <w:t>the</w:t>
      </w:r>
      <w:r>
        <w:rPr>
          <w:spacing w:val="10"/>
        </w:rPr>
        <w:t> </w:t>
      </w:r>
      <w:r>
        <w:rPr/>
        <w:t>same</w:t>
      </w:r>
      <w:r>
        <w:rPr>
          <w:spacing w:val="11"/>
        </w:rPr>
        <w:t> </w:t>
      </w:r>
      <w:r>
        <w:rPr/>
        <w:t>convention.</w:t>
      </w:r>
      <w:r>
        <w:rPr>
          <w:spacing w:val="11"/>
        </w:rPr>
        <w:t> </w:t>
      </w:r>
      <w:r>
        <w:rPr/>
        <w:t>A</w:t>
      </w:r>
    </w:p>
    <w:p>
      <w:pPr>
        <w:pStyle w:val="BodyText"/>
        <w:spacing w:line="243" w:lineRule="exact" w:before="33"/>
        <w:ind w:left="300"/>
        <w:jc w:val="both"/>
      </w:pPr>
      <w:r>
        <w:rPr/>
        <w:pict>
          <v:rect style="position:absolute;margin-left:432.359985pt;margin-top:9.012137pt;width:8.040000pt;height:.841pt;mso-position-horizontal-relative:page;mso-position-vertical-relative:paragraph;z-index:-18454528" filled="true" fillcolor="#000000" stroked="false">
            <v:fill type="solid"/>
            <w10:wrap type="none"/>
          </v:rect>
        </w:pict>
      </w:r>
      <w:r>
        <w:rPr>
          <w:w w:val="105"/>
        </w:rPr>
        <w:t>mass</w:t>
      </w:r>
      <w:r>
        <w:rPr>
          <w:spacing w:val="-14"/>
          <w:w w:val="105"/>
        </w:rPr>
        <w:t> </w:t>
      </w:r>
      <w:r>
        <w:rPr>
          <w:w w:val="105"/>
        </w:rPr>
        <w:t>spectrum</w:t>
      </w:r>
      <w:r>
        <w:rPr>
          <w:spacing w:val="-14"/>
          <w:w w:val="105"/>
        </w:rPr>
        <w:t> </w:t>
      </w:r>
      <w:r>
        <w:rPr>
          <w:w w:val="105"/>
        </w:rPr>
        <w:t>is</w:t>
      </w:r>
      <w:r>
        <w:rPr>
          <w:spacing w:val="-13"/>
          <w:w w:val="105"/>
        </w:rPr>
        <w:t> </w:t>
      </w:r>
      <w:r>
        <w:rPr>
          <w:w w:val="105"/>
        </w:rPr>
        <w:t>a</w:t>
      </w:r>
      <w:r>
        <w:rPr>
          <w:spacing w:val="-15"/>
          <w:w w:val="105"/>
        </w:rPr>
        <w:t> </w:t>
      </w:r>
      <w:r>
        <w:rPr>
          <w:w w:val="105"/>
        </w:rPr>
        <w:t>two</w:t>
      </w:r>
      <w:r>
        <w:rPr>
          <w:spacing w:val="-16"/>
          <w:w w:val="105"/>
        </w:rPr>
        <w:t> </w:t>
      </w:r>
      <w:r>
        <w:rPr>
          <w:w w:val="105"/>
        </w:rPr>
        <w:t>dimensional</w:t>
      </w:r>
      <w:r>
        <w:rPr>
          <w:spacing w:val="-13"/>
          <w:w w:val="105"/>
        </w:rPr>
        <w:t> </w:t>
      </w:r>
      <w:r>
        <w:rPr>
          <w:w w:val="105"/>
        </w:rPr>
        <w:t>plot</w:t>
      </w:r>
      <w:r>
        <w:rPr>
          <w:spacing w:val="-14"/>
          <w:w w:val="105"/>
        </w:rPr>
        <w:t> </w:t>
      </w:r>
      <w:r>
        <w:rPr>
          <w:w w:val="105"/>
        </w:rPr>
        <w:t>between</w:t>
      </w:r>
      <w:r>
        <w:rPr>
          <w:spacing w:val="-14"/>
          <w:w w:val="105"/>
        </w:rPr>
        <w:t> </w:t>
      </w:r>
      <w:r>
        <w:rPr>
          <w:w w:val="105"/>
        </w:rPr>
        <w:t>ion</w:t>
      </w:r>
      <w:r>
        <w:rPr>
          <w:spacing w:val="-14"/>
          <w:w w:val="105"/>
        </w:rPr>
        <w:t> </w:t>
      </w:r>
      <w:r>
        <w:rPr>
          <w:w w:val="105"/>
        </w:rPr>
        <w:t>abundance</w:t>
      </w:r>
      <w:r>
        <w:rPr>
          <w:spacing w:val="-15"/>
          <w:w w:val="105"/>
        </w:rPr>
        <w:t> </w:t>
      </w:r>
      <w:r>
        <w:rPr>
          <w:w w:val="105"/>
        </w:rPr>
        <w:t>and</w:t>
      </w:r>
      <w:r>
        <w:rPr>
          <w:spacing w:val="-14"/>
          <w:w w:val="105"/>
        </w:rPr>
        <w:t> </w:t>
      </w:r>
      <w:r>
        <w:rPr>
          <w:rFonts w:ascii="Symbola" w:eastAsia="Symbola"/>
          <w:w w:val="120"/>
          <w:vertAlign w:val="superscript"/>
        </w:rPr>
        <w:t>𝑚</w:t>
      </w:r>
      <w:r>
        <w:rPr>
          <w:rFonts w:ascii="Symbola" w:eastAsia="Symbola"/>
          <w:spacing w:val="-22"/>
          <w:w w:val="120"/>
          <w:vertAlign w:val="baseline"/>
        </w:rPr>
        <w:t> </w:t>
      </w:r>
      <w:r>
        <w:rPr>
          <w:w w:val="105"/>
          <w:vertAlign w:val="baseline"/>
        </w:rPr>
        <w:t>ratio</w:t>
      </w:r>
      <w:r>
        <w:rPr>
          <w:spacing w:val="-14"/>
          <w:w w:val="105"/>
          <w:vertAlign w:val="baseline"/>
        </w:rPr>
        <w:t> </w:t>
      </w:r>
      <w:r>
        <w:rPr>
          <w:w w:val="105"/>
          <w:vertAlign w:val="baseline"/>
        </w:rPr>
        <w:t>(Figure</w:t>
      </w:r>
    </w:p>
    <w:p>
      <w:pPr>
        <w:spacing w:line="137" w:lineRule="exact" w:before="0"/>
        <w:ind w:left="0" w:right="1653" w:firstLine="0"/>
        <w:jc w:val="right"/>
        <w:rPr>
          <w:rFonts w:ascii="Symbola" w:eastAsia="Symbola"/>
          <w:sz w:val="17"/>
        </w:rPr>
      </w:pPr>
      <w:r>
        <w:rPr>
          <w:rFonts w:ascii="Symbola" w:eastAsia="Symbola"/>
          <w:w w:val="90"/>
          <w:sz w:val="17"/>
        </w:rPr>
        <w:t>𝑧</w:t>
      </w:r>
    </w:p>
    <w:p>
      <w:pPr>
        <w:pStyle w:val="BodyText"/>
        <w:spacing w:before="104"/>
        <w:ind w:left="299"/>
      </w:pPr>
      <w:r>
        <w:rPr/>
        <w:t>11.3)</w:t>
      </w:r>
    </w:p>
    <w:p>
      <w:pPr>
        <w:pStyle w:val="BodyText"/>
        <w:spacing w:before="1"/>
        <w:rPr>
          <w:sz w:val="11"/>
        </w:rPr>
      </w:pPr>
      <w:r>
        <w:rPr/>
        <w:drawing>
          <wp:anchor distT="0" distB="0" distL="0" distR="0" allowOverlap="1" layoutInCell="1" locked="0" behindDoc="0" simplePos="0" relativeHeight="161">
            <wp:simplePos x="0" y="0"/>
            <wp:positionH relativeFrom="page">
              <wp:posOffset>1702559</wp:posOffset>
            </wp:positionH>
            <wp:positionV relativeFrom="paragraph">
              <wp:posOffset>106171</wp:posOffset>
            </wp:positionV>
            <wp:extent cx="4309854" cy="3395472"/>
            <wp:effectExtent l="0" t="0" r="0" b="0"/>
            <wp:wrapTopAndBottom/>
            <wp:docPr id="127" name="image68.png" descr="Figure 11.3.tif"/>
            <wp:cNvGraphicFramePr>
              <a:graphicFrameLocks noChangeAspect="1"/>
            </wp:cNvGraphicFramePr>
            <a:graphic>
              <a:graphicData uri="http://schemas.openxmlformats.org/drawingml/2006/picture">
                <pic:pic>
                  <pic:nvPicPr>
                    <pic:cNvPr id="128" name="image68.png"/>
                    <pic:cNvPicPr/>
                  </pic:nvPicPr>
                  <pic:blipFill>
                    <a:blip r:embed="rId76" cstate="print"/>
                    <a:stretch>
                      <a:fillRect/>
                    </a:stretch>
                  </pic:blipFill>
                  <pic:spPr>
                    <a:xfrm>
                      <a:off x="0" y="0"/>
                      <a:ext cx="4309854" cy="3395472"/>
                    </a:xfrm>
                    <a:prstGeom prst="rect">
                      <a:avLst/>
                    </a:prstGeom>
                  </pic:spPr>
                </pic:pic>
              </a:graphicData>
            </a:graphic>
          </wp:anchor>
        </w:drawing>
      </w:r>
    </w:p>
    <w:p>
      <w:pPr>
        <w:pStyle w:val="BodyText"/>
        <w:spacing w:before="8"/>
        <w:rPr>
          <w:sz w:val="29"/>
        </w:rPr>
      </w:pPr>
    </w:p>
    <w:p>
      <w:pPr>
        <w:spacing w:before="0"/>
        <w:ind w:left="793" w:right="617" w:firstLine="0"/>
        <w:jc w:val="center"/>
        <w:rPr>
          <w:b/>
          <w:sz w:val="16"/>
        </w:rPr>
      </w:pPr>
      <w:r>
        <w:rPr>
          <w:b/>
          <w:sz w:val="16"/>
        </w:rPr>
        <w:t>Figure 11.3 A typical mass spectrum</w:t>
      </w:r>
    </w:p>
    <w:p>
      <w:pPr>
        <w:spacing w:after="0"/>
        <w:jc w:val="center"/>
        <w:rPr>
          <w:sz w:val="16"/>
        </w:rPr>
        <w:sectPr>
          <w:type w:val="continuous"/>
          <w:pgSz w:w="11910" w:h="16840"/>
          <w:pgMar w:top="1300" w:bottom="940" w:left="1500" w:right="1480"/>
        </w:sectPr>
      </w:pPr>
    </w:p>
    <w:p>
      <w:pPr>
        <w:pStyle w:val="BodyText"/>
        <w:spacing w:line="360" w:lineRule="auto" w:before="119"/>
        <w:ind w:left="300" w:right="317"/>
        <w:jc w:val="both"/>
      </w:pPr>
      <w:r>
        <w:rPr/>
        <w:t>Let us see the design of a typical mass spectrometer (Figure 11.4). The basic requirement for an analyte molecule to be studied using mass spectrometry is that it has to be charged. A large number of molecules, however, may not be charged. The first step in an MS experiment is therefore to ionize the molecules. The spectrometer therefore has an </w:t>
      </w:r>
      <w:r>
        <w:rPr>
          <w:i/>
        </w:rPr>
        <w:t>ionization source</w:t>
      </w:r>
      <w:r>
        <w:rPr/>
        <w:t>. The ions generated are then separated by one or more </w:t>
      </w:r>
      <w:r>
        <w:rPr>
          <w:i/>
        </w:rPr>
        <w:t>mass analyzers </w:t>
      </w:r>
      <w:r>
        <w:rPr/>
        <w:t>which are then detected by a </w:t>
      </w:r>
      <w:r>
        <w:rPr>
          <w:i/>
        </w:rPr>
        <w:t>detector</w:t>
      </w:r>
      <w:r>
        <w:rPr/>
        <w:t>.</w:t>
      </w:r>
    </w:p>
    <w:p>
      <w:pPr>
        <w:pStyle w:val="BodyText"/>
        <w:rPr>
          <w:sz w:val="20"/>
        </w:rPr>
      </w:pPr>
    </w:p>
    <w:p>
      <w:pPr>
        <w:pStyle w:val="BodyText"/>
        <w:spacing w:before="5"/>
        <w:rPr>
          <w:sz w:val="13"/>
        </w:rPr>
      </w:pPr>
      <w:r>
        <w:rPr/>
        <w:drawing>
          <wp:anchor distT="0" distB="0" distL="0" distR="0" allowOverlap="1" layoutInCell="1" locked="0" behindDoc="0" simplePos="0" relativeHeight="166">
            <wp:simplePos x="0" y="0"/>
            <wp:positionH relativeFrom="page">
              <wp:posOffset>1310269</wp:posOffset>
            </wp:positionH>
            <wp:positionV relativeFrom="paragraph">
              <wp:posOffset>122962</wp:posOffset>
            </wp:positionV>
            <wp:extent cx="5127903" cy="620268"/>
            <wp:effectExtent l="0" t="0" r="0" b="0"/>
            <wp:wrapTopAndBottom/>
            <wp:docPr id="129" name="image69.png" descr="Figure 11.4.tif"/>
            <wp:cNvGraphicFramePr>
              <a:graphicFrameLocks noChangeAspect="1"/>
            </wp:cNvGraphicFramePr>
            <a:graphic>
              <a:graphicData uri="http://schemas.openxmlformats.org/drawingml/2006/picture">
                <pic:pic>
                  <pic:nvPicPr>
                    <pic:cNvPr id="130" name="image69.png"/>
                    <pic:cNvPicPr/>
                  </pic:nvPicPr>
                  <pic:blipFill>
                    <a:blip r:embed="rId77" cstate="print"/>
                    <a:stretch>
                      <a:fillRect/>
                    </a:stretch>
                  </pic:blipFill>
                  <pic:spPr>
                    <a:xfrm>
                      <a:off x="0" y="0"/>
                      <a:ext cx="5127903" cy="620268"/>
                    </a:xfrm>
                    <a:prstGeom prst="rect">
                      <a:avLst/>
                    </a:prstGeom>
                  </pic:spPr>
                </pic:pic>
              </a:graphicData>
            </a:graphic>
          </wp:anchor>
        </w:drawing>
      </w:r>
    </w:p>
    <w:p>
      <w:pPr>
        <w:pStyle w:val="BodyText"/>
        <w:spacing w:before="10"/>
        <w:rPr>
          <w:sz w:val="31"/>
        </w:rPr>
      </w:pPr>
    </w:p>
    <w:p>
      <w:pPr>
        <w:spacing w:before="0"/>
        <w:ind w:left="791" w:right="617" w:firstLine="0"/>
        <w:jc w:val="center"/>
        <w:rPr>
          <w:b/>
          <w:sz w:val="16"/>
        </w:rPr>
      </w:pPr>
      <w:r>
        <w:rPr>
          <w:b/>
          <w:sz w:val="16"/>
        </w:rPr>
        <w:t>Figure 11.4 The components of a mass spectrometer</w:t>
      </w:r>
    </w:p>
    <w:p>
      <w:pPr>
        <w:pStyle w:val="BodyText"/>
        <w:rPr>
          <w:b/>
          <w:sz w:val="18"/>
        </w:rPr>
      </w:pPr>
    </w:p>
    <w:p>
      <w:pPr>
        <w:pStyle w:val="BodyText"/>
        <w:rPr>
          <w:b/>
          <w:sz w:val="18"/>
        </w:rPr>
      </w:pPr>
    </w:p>
    <w:p>
      <w:pPr>
        <w:pStyle w:val="BodyText"/>
        <w:tabs>
          <w:tab w:pos="755" w:val="left" w:leader="none"/>
          <w:tab w:pos="899" w:val="left" w:leader="none"/>
          <w:tab w:pos="1343" w:val="left" w:leader="none"/>
          <w:tab w:pos="1514" w:val="left" w:leader="none"/>
          <w:tab w:pos="2128" w:val="left" w:leader="none"/>
          <w:tab w:pos="2219" w:val="left" w:leader="none"/>
          <w:tab w:pos="2543" w:val="left" w:leader="none"/>
          <w:tab w:pos="2862" w:val="left" w:leader="none"/>
          <w:tab w:pos="2997" w:val="left" w:leader="none"/>
        </w:tabs>
        <w:spacing w:line="360" w:lineRule="auto" w:before="117"/>
        <w:ind w:left="300" w:right="5579"/>
      </w:pPr>
      <w:r>
        <w:rPr/>
        <w:pict>
          <v:shape style="position:absolute;margin-left:251.850006pt;margin-top:27.563124pt;width:252.05pt;height:142.5pt;mso-position-horizontal-relative:page;mso-position-vertical-relative:paragraph;z-index:15814144" type="#_x0000_t202" filled="true" fillcolor="#ffff00" stroked="true" strokeweight=".75pt" strokecolor="#000000">
            <v:textbox inset="0,0,0,0">
              <w:txbxContent>
                <w:p>
                  <w:pPr>
                    <w:spacing w:before="72"/>
                    <w:ind w:left="2009" w:right="2010" w:firstLine="0"/>
                    <w:jc w:val="center"/>
                    <w:rPr>
                      <w:b/>
                      <w:sz w:val="24"/>
                    </w:rPr>
                  </w:pPr>
                  <w:r>
                    <w:rPr>
                      <w:b/>
                      <w:sz w:val="24"/>
                    </w:rPr>
                    <w:t>Ion mode</w:t>
                  </w:r>
                </w:p>
                <w:p>
                  <w:pPr>
                    <w:pStyle w:val="BodyText"/>
                    <w:spacing w:before="5"/>
                    <w:rPr>
                      <w:b/>
                      <w:sz w:val="20"/>
                    </w:rPr>
                  </w:pPr>
                </w:p>
                <w:p>
                  <w:pPr>
                    <w:pStyle w:val="BodyText"/>
                    <w:spacing w:line="276" w:lineRule="auto"/>
                    <w:ind w:left="144" w:right="139"/>
                    <w:jc w:val="both"/>
                  </w:pPr>
                  <w:r>
                    <w:rPr/>
                    <w:t>Mass spectrometric analyses are usually performed in the positive ion mode </w:t>
                  </w:r>
                  <w:r>
                    <w:rPr>
                      <w:i/>
                    </w:rPr>
                    <w:t>i.e. </w:t>
                  </w:r>
                  <w:r>
                    <w:rPr/>
                    <w:t>only cationic species are detected. It is, however, possible to study the molecules in negative ion mode as well, where anions are detected. Unless mentioned otherwise, it is usually assumed that the analysis is done in positive ion mode.</w:t>
                  </w:r>
                </w:p>
              </w:txbxContent>
            </v:textbox>
            <v:fill type="solid"/>
            <v:stroke dashstyle="solid"/>
            <w10:wrap type="none"/>
          </v:shape>
        </w:pict>
      </w:r>
      <w:r>
        <w:rPr>
          <w:b/>
        </w:rPr>
        <w:t>Ionization/ionization source </w:t>
      </w:r>
      <w:r>
        <w:rPr/>
        <w:t>The</w:t>
        <w:tab/>
        <w:tab/>
        <w:t>first</w:t>
        <w:tab/>
        <w:tab/>
        <w:t>step</w:t>
        <w:tab/>
        <w:t>in</w:t>
        <w:tab/>
        <w:t>an</w:t>
        <w:tab/>
        <w:tab/>
      </w:r>
      <w:r>
        <w:rPr>
          <w:spacing w:val="-9"/>
        </w:rPr>
        <w:t>MS </w:t>
      </w:r>
      <w:r>
        <w:rPr/>
        <w:t>experiment is to obtain the ions in</w:t>
        <w:tab/>
        <w:t>gas</w:t>
        <w:tab/>
        <w:t>phase.</w:t>
        <w:tab/>
        <w:tab/>
        <w:t>The</w:t>
        <w:tab/>
      </w:r>
      <w:r>
        <w:rPr>
          <w:spacing w:val="-5"/>
        </w:rPr>
        <w:t>mass </w:t>
      </w:r>
      <w:r>
        <w:rPr/>
        <w:t>spectrometers, therefore </w:t>
      </w:r>
      <w:r>
        <w:rPr>
          <w:spacing w:val="-4"/>
        </w:rPr>
        <w:t>have </w:t>
      </w:r>
      <w:r>
        <w:rPr/>
        <w:t>an ionization chamber </w:t>
      </w:r>
      <w:r>
        <w:rPr>
          <w:spacing w:val="-4"/>
        </w:rPr>
        <w:t>(also </w:t>
      </w:r>
      <w:r>
        <w:rPr/>
        <w:t>called ionization source) where the samples are introduced</w:t>
      </w:r>
      <w:r>
        <w:rPr>
          <w:spacing w:val="43"/>
        </w:rPr>
        <w:t> </w:t>
      </w:r>
      <w:r>
        <w:rPr/>
        <w:t>to</w:t>
      </w:r>
    </w:p>
    <w:p>
      <w:pPr>
        <w:pStyle w:val="BodyText"/>
        <w:spacing w:line="360" w:lineRule="auto"/>
        <w:ind w:left="300" w:right="443"/>
      </w:pPr>
      <w:r>
        <w:rPr/>
        <w:t>achieve ionization. Ions are generated through one of the several methods that have their own merits and limitations. Some of the ionization methods are:</w:t>
      </w:r>
    </w:p>
    <w:p>
      <w:pPr>
        <w:spacing w:before="197"/>
        <w:ind w:left="300" w:right="0" w:firstLine="0"/>
        <w:jc w:val="left"/>
        <w:rPr>
          <w:i/>
          <w:sz w:val="24"/>
        </w:rPr>
      </w:pPr>
      <w:r>
        <w:rPr>
          <w:i/>
          <w:sz w:val="24"/>
        </w:rPr>
        <w:t>Electron Ionization (EI)</w:t>
      </w:r>
    </w:p>
    <w:p>
      <w:pPr>
        <w:pStyle w:val="BodyText"/>
        <w:spacing w:before="3"/>
        <w:rPr>
          <w:i/>
          <w:sz w:val="29"/>
        </w:rPr>
      </w:pPr>
    </w:p>
    <w:p>
      <w:pPr>
        <w:pStyle w:val="BodyText"/>
        <w:spacing w:line="360" w:lineRule="auto"/>
        <w:ind w:left="300" w:right="317"/>
        <w:jc w:val="both"/>
      </w:pPr>
      <w:r>
        <w:rPr/>
        <w:t>In electron ionization method (Figure 11.5), a heated filament is used to emit the electrons. The electrons are accelerated through the ionization chamber under the influence of a strong electric field. The sample in gas phase is introduced into the ionization chamber. A high energy electron can knock off an electron from an analyte molecule, M giving a molecular radical cation.</w:t>
      </w:r>
    </w:p>
    <w:p>
      <w:pPr>
        <w:pStyle w:val="BodyText"/>
        <w:tabs>
          <w:tab w:pos="7499" w:val="left" w:leader="none"/>
        </w:tabs>
        <w:spacing w:before="4"/>
        <w:ind w:left="1019"/>
        <w:jc w:val="both"/>
      </w:pPr>
      <w:r>
        <w:rPr>
          <w:rFonts w:ascii="Symbola" w:hAnsi="Symbola"/>
        </w:rPr>
        <w:t>M + e</w:t>
      </w:r>
      <w:r>
        <w:rPr>
          <w:rFonts w:ascii="Symbola" w:hAnsi="Symbola"/>
          <w:vertAlign w:val="superscript"/>
        </w:rPr>
        <w:t>−</w:t>
      </w:r>
      <w:r>
        <w:rPr>
          <w:rFonts w:ascii="Symbola" w:hAnsi="Symbola"/>
          <w:vertAlign w:val="baseline"/>
        </w:rPr>
        <w:t>  →  </w:t>
      </w:r>
      <w:r>
        <w:rPr>
          <w:rFonts w:ascii="Symbola" w:hAnsi="Symbola"/>
          <w:spacing w:val="2"/>
          <w:vertAlign w:val="baseline"/>
        </w:rPr>
        <w:t>M</w:t>
      </w:r>
      <w:r>
        <w:rPr>
          <w:rFonts w:ascii="Symbola" w:hAnsi="Symbola"/>
          <w:spacing w:val="2"/>
          <w:vertAlign w:val="superscript"/>
        </w:rPr>
        <w:t>•+</w:t>
      </w:r>
      <w:r>
        <w:rPr>
          <w:rFonts w:ascii="Symbola" w:hAnsi="Symbola"/>
          <w:spacing w:val="2"/>
          <w:vertAlign w:val="baseline"/>
        </w:rPr>
        <w:t> </w:t>
      </w:r>
      <w:r>
        <w:rPr>
          <w:rFonts w:ascii="Symbola" w:hAnsi="Symbola"/>
          <w:vertAlign w:val="baseline"/>
        </w:rPr>
        <w:t>+</w:t>
      </w:r>
      <w:r>
        <w:rPr>
          <w:rFonts w:ascii="Symbola" w:hAnsi="Symbola"/>
          <w:spacing w:val="52"/>
          <w:vertAlign w:val="baseline"/>
        </w:rPr>
        <w:t> </w:t>
      </w:r>
      <w:r>
        <w:rPr>
          <w:rFonts w:ascii="Symbola" w:hAnsi="Symbola"/>
          <w:vertAlign w:val="baseline"/>
        </w:rPr>
        <w:t>2e</w:t>
      </w:r>
      <w:r>
        <w:rPr>
          <w:rFonts w:ascii="Symbola" w:hAnsi="Symbola"/>
          <w:vertAlign w:val="superscript"/>
        </w:rPr>
        <w:t>−</w:t>
      </w:r>
      <w:r>
        <w:rPr>
          <w:rFonts w:ascii="Symbola" w:hAnsi="Symbola"/>
          <w:vertAlign w:val="baseline"/>
        </w:rPr>
        <w:t>       </w:t>
      </w:r>
      <w:r>
        <w:rPr>
          <w:rFonts w:ascii="Symbola" w:hAnsi="Symbola"/>
          <w:spacing w:val="18"/>
          <w:vertAlign w:val="baseline"/>
        </w:rPr>
        <w:t> </w:t>
      </w:r>
      <w:r>
        <w:rPr>
          <w:spacing w:val="9"/>
          <w:vertAlign w:val="baseline"/>
        </w:rPr>
        <w:t>··········································</w:t>
        <w:tab/>
      </w:r>
      <w:r>
        <w:rPr>
          <w:vertAlign w:val="baseline"/>
        </w:rPr>
        <w:t>(11.9)</w:t>
      </w:r>
    </w:p>
    <w:p>
      <w:pPr>
        <w:pStyle w:val="BodyText"/>
        <w:spacing w:line="367" w:lineRule="auto" w:before="146"/>
        <w:ind w:left="300" w:right="316"/>
        <w:jc w:val="both"/>
      </w:pPr>
      <w:r>
        <w:rPr>
          <w:rFonts w:ascii="Symbola" w:hAnsi="Symbola"/>
        </w:rPr>
        <w:t>M</w:t>
      </w:r>
      <w:r>
        <w:rPr>
          <w:rFonts w:ascii="Symbola" w:hAnsi="Symbola"/>
          <w:vertAlign w:val="superscript"/>
        </w:rPr>
        <w:t>•+</w:t>
      </w:r>
      <w:r>
        <w:rPr>
          <w:rFonts w:ascii="Symbola" w:hAnsi="Symbola"/>
          <w:vertAlign w:val="baseline"/>
        </w:rPr>
        <w:t> </w:t>
      </w:r>
      <w:r>
        <w:rPr>
          <w:vertAlign w:val="baseline"/>
        </w:rPr>
        <w:t>is referred to as the molecular ion. Loss of electron is a miniscule loss of mass; therefore mass of </w:t>
      </w:r>
      <w:r>
        <w:rPr>
          <w:rFonts w:ascii="Symbola" w:hAnsi="Symbola"/>
          <w:vertAlign w:val="baseline"/>
        </w:rPr>
        <w:t>M</w:t>
      </w:r>
      <w:r>
        <w:rPr>
          <w:rFonts w:ascii="Symbola" w:hAnsi="Symbola"/>
          <w:vertAlign w:val="superscript"/>
        </w:rPr>
        <w:t>•+</w:t>
      </w:r>
      <w:r>
        <w:rPr>
          <w:rFonts w:ascii="Symbola" w:hAnsi="Symbola"/>
          <w:vertAlign w:val="baseline"/>
        </w:rPr>
        <w:t> </w:t>
      </w:r>
      <w:r>
        <w:rPr>
          <w:vertAlign w:val="baseline"/>
        </w:rPr>
        <w:t>equals the mass of the molecule.</w:t>
      </w:r>
    </w:p>
    <w:p>
      <w:pPr>
        <w:spacing w:after="0" w:line="367" w:lineRule="auto"/>
        <w:jc w:val="both"/>
        <w:sectPr>
          <w:pgSz w:w="11910" w:h="16840"/>
          <w:pgMar w:header="722" w:footer="748" w:top="1300" w:bottom="940" w:left="1500" w:right="1480"/>
        </w:sectPr>
      </w:pPr>
    </w:p>
    <w:p>
      <w:pPr>
        <w:pStyle w:val="BodyText"/>
        <w:spacing w:before="5"/>
        <w:rPr>
          <w:sz w:val="13"/>
        </w:rPr>
      </w:pPr>
    </w:p>
    <w:p>
      <w:pPr>
        <w:pStyle w:val="BodyText"/>
        <w:ind w:left="1743"/>
        <w:rPr>
          <w:sz w:val="20"/>
        </w:rPr>
      </w:pPr>
      <w:r>
        <w:rPr>
          <w:sz w:val="20"/>
        </w:rPr>
        <w:drawing>
          <wp:inline distT="0" distB="0" distL="0" distR="0">
            <wp:extent cx="3631942" cy="2983992"/>
            <wp:effectExtent l="0" t="0" r="0" b="0"/>
            <wp:docPr id="131" name="image70.jpeg" descr="Figure 11.5.tif"/>
            <wp:cNvGraphicFramePr>
              <a:graphicFrameLocks noChangeAspect="1"/>
            </wp:cNvGraphicFramePr>
            <a:graphic>
              <a:graphicData uri="http://schemas.openxmlformats.org/drawingml/2006/picture">
                <pic:pic>
                  <pic:nvPicPr>
                    <pic:cNvPr id="132" name="image70.jpeg"/>
                    <pic:cNvPicPr/>
                  </pic:nvPicPr>
                  <pic:blipFill>
                    <a:blip r:embed="rId78" cstate="print"/>
                    <a:stretch>
                      <a:fillRect/>
                    </a:stretch>
                  </pic:blipFill>
                  <pic:spPr>
                    <a:xfrm>
                      <a:off x="0" y="0"/>
                      <a:ext cx="3631942" cy="2983992"/>
                    </a:xfrm>
                    <a:prstGeom prst="rect">
                      <a:avLst/>
                    </a:prstGeom>
                  </pic:spPr>
                </pic:pic>
              </a:graphicData>
            </a:graphic>
          </wp:inline>
        </w:drawing>
      </w:r>
      <w:r>
        <w:rPr>
          <w:sz w:val="20"/>
        </w:rPr>
      </w:r>
    </w:p>
    <w:p>
      <w:pPr>
        <w:pStyle w:val="BodyText"/>
        <w:spacing w:before="5"/>
        <w:rPr>
          <w:sz w:val="21"/>
        </w:rPr>
      </w:pPr>
    </w:p>
    <w:p>
      <w:pPr>
        <w:spacing w:before="94"/>
        <w:ind w:left="792" w:right="617" w:firstLine="0"/>
        <w:jc w:val="center"/>
        <w:rPr>
          <w:b/>
          <w:sz w:val="16"/>
        </w:rPr>
      </w:pPr>
      <w:r>
        <w:rPr>
          <w:b/>
          <w:sz w:val="16"/>
        </w:rPr>
        <w:t>Figure 11.5 Design of an electron ionization source</w:t>
      </w:r>
    </w:p>
    <w:p>
      <w:pPr>
        <w:pStyle w:val="BodyText"/>
        <w:rPr>
          <w:b/>
          <w:sz w:val="18"/>
        </w:rPr>
      </w:pPr>
    </w:p>
    <w:p>
      <w:pPr>
        <w:pStyle w:val="BodyText"/>
        <w:rPr>
          <w:b/>
          <w:sz w:val="18"/>
        </w:rPr>
      </w:pPr>
    </w:p>
    <w:p>
      <w:pPr>
        <w:pStyle w:val="BodyText"/>
        <w:spacing w:line="360" w:lineRule="auto" w:before="115"/>
        <w:ind w:left="299" w:right="315"/>
        <w:jc w:val="both"/>
      </w:pPr>
      <w:r>
        <w:rPr/>
        <w:t>The kinetic energy of the electrons is usually 70 eV in the electron ionization method. Typically 10-20 eV energy is transferred to the molecules. Around 10 eV energy is sufficient to cause ionization of most organic molecules; the radical cation is therefore left with an excess energy. Electron ionization, therefore often causes extensive fragmentation of the radical cation. Detection of these fragments can provide useful structural information about the molecule but can complicate the data for larger molecules. In some cases, molecular ion may not even be detected at all. The fragmentation is usually hemolytic, resulting in an even-electron cation and a neutral radical (Equation 11.10). Fragmentation into a neutral molecule and a smaller radical cation, however, is not uncommon (Equation 11.11).</w:t>
      </w:r>
    </w:p>
    <w:p>
      <w:pPr>
        <w:pStyle w:val="BodyText"/>
        <w:tabs>
          <w:tab w:pos="3189" w:val="left" w:leader="none"/>
          <w:tab w:pos="7499" w:val="left" w:leader="none"/>
        </w:tabs>
        <w:spacing w:line="115" w:lineRule="exact" w:before="3"/>
        <w:ind w:left="1019"/>
      </w:pPr>
      <w:r>
        <w:rPr>
          <w:rFonts w:ascii="Symbola" w:hAnsi="Symbola"/>
          <w:spacing w:val="2"/>
        </w:rPr>
        <w:t>M</w:t>
      </w:r>
      <w:r>
        <w:rPr>
          <w:rFonts w:ascii="Symbola" w:hAnsi="Symbola"/>
          <w:spacing w:val="2"/>
          <w:vertAlign w:val="superscript"/>
        </w:rPr>
        <w:t>•+</w:t>
      </w:r>
      <w:r>
        <w:rPr>
          <w:rFonts w:ascii="Symbola" w:hAnsi="Symbola"/>
          <w:spacing w:val="2"/>
          <w:vertAlign w:val="baseline"/>
        </w:rPr>
        <w:t>  </w:t>
      </w:r>
      <w:r>
        <w:rPr>
          <w:rFonts w:ascii="Symbola" w:hAnsi="Symbola"/>
          <w:vertAlign w:val="baseline"/>
        </w:rPr>
        <w:t>→  m</w:t>
      </w:r>
      <w:r>
        <w:rPr>
          <w:rFonts w:ascii="Symbola" w:hAnsi="Symbola"/>
          <w:vertAlign w:val="superscript"/>
        </w:rPr>
        <w:t>•</w:t>
      </w:r>
      <w:r>
        <w:rPr>
          <w:rFonts w:ascii="Symbola" w:hAnsi="Symbola"/>
          <w:spacing w:val="8"/>
          <w:vertAlign w:val="baseline"/>
        </w:rPr>
        <w:t> </w:t>
      </w:r>
      <w:r>
        <w:rPr>
          <w:rFonts w:ascii="Symbola" w:hAnsi="Symbola"/>
          <w:vertAlign w:val="baseline"/>
        </w:rPr>
        <w:t>+</w:t>
      </w:r>
      <w:r>
        <w:rPr>
          <w:rFonts w:ascii="Symbola" w:hAnsi="Symbola"/>
          <w:spacing w:val="-18"/>
          <w:vertAlign w:val="baseline"/>
        </w:rPr>
        <w:t> </w:t>
      </w:r>
      <w:r>
        <w:rPr>
          <w:rFonts w:ascii="Symbola" w:hAnsi="Symbola"/>
          <w:vertAlign w:val="baseline"/>
        </w:rPr>
        <w:t>m</w:t>
      </w:r>
      <w:r>
        <w:rPr>
          <w:rFonts w:ascii="Symbola" w:hAnsi="Symbola"/>
          <w:vertAlign w:val="superscript"/>
        </w:rPr>
        <w:t>+</w:t>
      </w:r>
      <w:r>
        <w:rPr>
          <w:rFonts w:ascii="Symbola" w:hAnsi="Symbola"/>
          <w:vertAlign w:val="baseline"/>
        </w:rPr>
        <w:tab/>
      </w:r>
      <w:r>
        <w:rPr>
          <w:spacing w:val="9"/>
          <w:vertAlign w:val="baseline"/>
        </w:rPr>
        <w:t>···················································</w:t>
        <w:tab/>
      </w:r>
      <w:r>
        <w:rPr>
          <w:vertAlign w:val="baseline"/>
        </w:rPr>
        <w:t>(11.10)</w:t>
      </w:r>
    </w:p>
    <w:p>
      <w:pPr>
        <w:tabs>
          <w:tab w:pos="2711" w:val="left" w:leader="none"/>
        </w:tabs>
        <w:spacing w:before="28"/>
        <w:ind w:left="2119" w:right="0" w:firstLine="0"/>
        <w:jc w:val="left"/>
        <w:rPr>
          <w:rFonts w:ascii="Symbola"/>
          <w:sz w:val="17"/>
        </w:rPr>
      </w:pPr>
      <w:r>
        <w:rPr>
          <w:rFonts w:ascii="Symbola"/>
          <w:w w:val="115"/>
          <w:sz w:val="17"/>
        </w:rPr>
        <w:t>1</w:t>
        <w:tab/>
        <w:t>2</w:t>
      </w:r>
    </w:p>
    <w:p>
      <w:pPr>
        <w:pStyle w:val="BodyText"/>
        <w:tabs>
          <w:tab w:pos="3189" w:val="left" w:leader="none"/>
          <w:tab w:pos="7499" w:val="left" w:leader="none"/>
        </w:tabs>
        <w:spacing w:line="362" w:lineRule="auto" w:before="107"/>
        <w:ind w:left="300" w:right="314" w:firstLine="720"/>
      </w:pPr>
      <w:r>
        <w:rPr/>
        <w:pict>
          <v:shape style="position:absolute;margin-left:180.960007pt;margin-top:11.097463pt;width:4.95pt;height:10pt;mso-position-horizontal-relative:page;mso-position-vertical-relative:paragraph;z-index:-18452992" type="#_x0000_t202" filled="false" stroked="false">
            <v:textbox inset="0,0,0,0">
              <w:txbxContent>
                <w:p>
                  <w:pPr>
                    <w:spacing w:before="28"/>
                    <w:ind w:left="0" w:right="0" w:firstLine="0"/>
                    <w:jc w:val="left"/>
                    <w:rPr>
                      <w:rFonts w:ascii="Symbola"/>
                      <w:sz w:val="17"/>
                    </w:rPr>
                  </w:pPr>
                  <w:r>
                    <w:rPr>
                      <w:rFonts w:ascii="Symbola"/>
                      <w:w w:val="115"/>
                      <w:sz w:val="17"/>
                    </w:rPr>
                    <w:t>1</w:t>
                  </w:r>
                </w:p>
              </w:txbxContent>
            </v:textbox>
            <w10:wrap type="none"/>
          </v:shape>
        </w:pict>
      </w:r>
      <w:r>
        <w:rPr>
          <w:rFonts w:ascii="Symbola" w:hAnsi="Symbola"/>
          <w:spacing w:val="2"/>
        </w:rPr>
        <w:t>M</w:t>
      </w:r>
      <w:r>
        <w:rPr>
          <w:rFonts w:ascii="Symbola" w:hAnsi="Symbola"/>
          <w:spacing w:val="2"/>
          <w:vertAlign w:val="superscript"/>
        </w:rPr>
        <w:t>•+</w:t>
      </w:r>
      <w:r>
        <w:rPr>
          <w:rFonts w:ascii="Symbola" w:hAnsi="Symbola"/>
          <w:spacing w:val="2"/>
          <w:vertAlign w:val="baseline"/>
        </w:rPr>
        <w:t>  </w:t>
      </w:r>
      <w:r>
        <w:rPr>
          <w:rFonts w:ascii="Symbola" w:hAnsi="Symbola"/>
          <w:vertAlign w:val="baseline"/>
        </w:rPr>
        <w:t>→  m</w:t>
      </w:r>
      <w:r>
        <w:rPr>
          <w:rFonts w:ascii="Symbola" w:hAnsi="Symbola"/>
          <w:vertAlign w:val="superscript"/>
        </w:rPr>
        <w:t>•+</w:t>
      </w:r>
      <w:r>
        <w:rPr>
          <w:rFonts w:ascii="Symbola" w:hAnsi="Symbola"/>
          <w:spacing w:val="-8"/>
          <w:vertAlign w:val="baseline"/>
        </w:rPr>
        <w:t> </w:t>
      </w:r>
      <w:r>
        <w:rPr>
          <w:rFonts w:ascii="Symbola" w:hAnsi="Symbola"/>
          <w:vertAlign w:val="baseline"/>
        </w:rPr>
        <w:t>+</w:t>
      </w:r>
      <w:r>
        <w:rPr>
          <w:rFonts w:ascii="Symbola" w:hAnsi="Symbola"/>
          <w:spacing w:val="-17"/>
          <w:vertAlign w:val="baseline"/>
        </w:rPr>
        <w:t> </w:t>
      </w:r>
      <w:r>
        <w:rPr>
          <w:rFonts w:ascii="Symbola" w:hAnsi="Symbola"/>
          <w:vertAlign w:val="baseline"/>
        </w:rPr>
        <w:t>m</w:t>
      </w:r>
      <w:r>
        <w:rPr>
          <w:rFonts w:ascii="Symbola" w:hAnsi="Symbola"/>
          <w:vertAlign w:val="subscript"/>
        </w:rPr>
        <w:t>2</w:t>
      </w:r>
      <w:r>
        <w:rPr>
          <w:rFonts w:ascii="Symbola" w:hAnsi="Symbola"/>
          <w:vertAlign w:val="baseline"/>
        </w:rPr>
        <w:tab/>
      </w:r>
      <w:r>
        <w:rPr>
          <w:spacing w:val="9"/>
          <w:vertAlign w:val="baseline"/>
        </w:rPr>
        <w:t>···················································</w:t>
        <w:tab/>
      </w:r>
      <w:r>
        <w:rPr>
          <w:vertAlign w:val="baseline"/>
        </w:rPr>
        <w:t>(11.11) Electron ionization method is limited to samples in the gas phase. Gaseous and highly volatile samples can be directly introduced into the ionization chamber. Liquid and solid samples can be heated to obtain molecules in gaseous phase but it depends on the thermostability of the</w:t>
      </w:r>
      <w:r>
        <w:rPr>
          <w:spacing w:val="-7"/>
          <w:vertAlign w:val="baseline"/>
        </w:rPr>
        <w:t> </w:t>
      </w:r>
      <w:r>
        <w:rPr>
          <w:vertAlign w:val="baseline"/>
        </w:rPr>
        <w:t>samples.</w:t>
      </w:r>
    </w:p>
    <w:p>
      <w:pPr>
        <w:spacing w:after="0" w:line="362" w:lineRule="auto"/>
        <w:sectPr>
          <w:pgSz w:w="11910" w:h="16840"/>
          <w:pgMar w:header="722" w:footer="748" w:top="1300" w:bottom="940" w:left="1500" w:right="1480"/>
        </w:sectPr>
      </w:pPr>
    </w:p>
    <w:p>
      <w:pPr>
        <w:spacing w:before="119"/>
        <w:ind w:left="300" w:right="0" w:firstLine="0"/>
        <w:jc w:val="both"/>
        <w:rPr>
          <w:i/>
          <w:sz w:val="24"/>
        </w:rPr>
      </w:pPr>
      <w:r>
        <w:rPr>
          <w:i/>
          <w:sz w:val="24"/>
        </w:rPr>
        <w:t>Chemical Ionization (CI)</w:t>
      </w:r>
    </w:p>
    <w:p>
      <w:pPr>
        <w:pStyle w:val="BodyText"/>
        <w:spacing w:before="5"/>
        <w:rPr>
          <w:i/>
          <w:sz w:val="29"/>
        </w:rPr>
      </w:pPr>
    </w:p>
    <w:p>
      <w:pPr>
        <w:pStyle w:val="BodyText"/>
        <w:spacing w:line="360" w:lineRule="auto"/>
        <w:ind w:left="300" w:right="316"/>
        <w:jc w:val="both"/>
      </w:pPr>
      <w:r>
        <w:rPr/>
        <w:t>The ions are produced through the collision of the sample molecules with the primary ions produced by a gas (called a reagent gas) in the ionization chamber. The reagent gas is ionized through electron ionization. The radical cations generated will undergo fragmentations and reactions. The most common reaction generating ions is a proton transfer from a gas cation (GH</w:t>
      </w:r>
      <w:r>
        <w:rPr>
          <w:vertAlign w:val="superscript"/>
        </w:rPr>
        <w:t>+</w:t>
      </w:r>
      <w:r>
        <w:rPr>
          <w:vertAlign w:val="baseline"/>
        </w:rPr>
        <w:t>) to the molecule. Methane, isobutane, and ammonia are the most common reagent gases. Let us take methane as an example to understand how chemical ionization occurs:</w:t>
      </w:r>
    </w:p>
    <w:p>
      <w:pPr>
        <w:pStyle w:val="BodyText"/>
        <w:tabs>
          <w:tab w:pos="3179" w:val="left" w:leader="none"/>
        </w:tabs>
        <w:spacing w:before="2"/>
        <w:ind w:left="1020"/>
        <w:rPr>
          <w:rFonts w:ascii="Symbola" w:hAnsi="Symbola"/>
        </w:rPr>
      </w:pPr>
      <w:r>
        <w:rPr/>
        <w:pict>
          <v:shape style="position:absolute;margin-left:320.880005pt;margin-top:5.847468pt;width:4.95pt;height:10pt;mso-position-horizontal-relative:page;mso-position-vertical-relative:paragraph;z-index:-18452480" type="#_x0000_t202" filled="false" stroked="false">
            <v:textbox inset="0,0,0,0">
              <w:txbxContent>
                <w:p>
                  <w:pPr>
                    <w:spacing w:before="28"/>
                    <w:ind w:left="0" w:right="0" w:firstLine="0"/>
                    <w:jc w:val="left"/>
                    <w:rPr>
                      <w:rFonts w:ascii="Symbola"/>
                      <w:sz w:val="17"/>
                    </w:rPr>
                  </w:pPr>
                  <w:r>
                    <w:rPr>
                      <w:rFonts w:ascii="Symbola"/>
                      <w:w w:val="115"/>
                      <w:sz w:val="17"/>
                    </w:rPr>
                    <w:t>4</w:t>
                  </w:r>
                </w:p>
              </w:txbxContent>
            </v:textbox>
            <w10:wrap type="none"/>
          </v:shape>
        </w:pict>
      </w:r>
      <w:r>
        <w:rPr/>
        <w:t>Electron</w:t>
      </w:r>
      <w:r>
        <w:rPr>
          <w:spacing w:val="-2"/>
        </w:rPr>
        <w:t> </w:t>
      </w:r>
      <w:r>
        <w:rPr/>
        <w:t>ionization:</w:t>
        <w:tab/>
      </w:r>
      <w:r>
        <w:rPr>
          <w:rFonts w:ascii="Symbola" w:hAnsi="Symbola"/>
        </w:rPr>
        <w:t>CH</w:t>
      </w:r>
      <w:r>
        <w:rPr>
          <w:rFonts w:ascii="Symbola" w:hAnsi="Symbola"/>
          <w:vertAlign w:val="subscript"/>
        </w:rPr>
        <w:t>4</w:t>
      </w:r>
      <w:r>
        <w:rPr>
          <w:rFonts w:ascii="Symbola" w:hAnsi="Symbola"/>
          <w:vertAlign w:val="baseline"/>
        </w:rPr>
        <w:t> + e</w:t>
      </w:r>
      <w:r>
        <w:rPr>
          <w:rFonts w:ascii="Symbola" w:hAnsi="Symbola"/>
          <w:vertAlign w:val="superscript"/>
        </w:rPr>
        <w:t>−</w:t>
      </w:r>
      <w:r>
        <w:rPr>
          <w:rFonts w:ascii="Symbola" w:hAnsi="Symbola"/>
          <w:vertAlign w:val="baseline"/>
        </w:rPr>
        <w:t> → CH</w:t>
      </w:r>
      <w:r>
        <w:rPr>
          <w:rFonts w:ascii="Symbola" w:hAnsi="Symbola"/>
          <w:vertAlign w:val="superscript"/>
        </w:rPr>
        <w:t>•+</w:t>
      </w:r>
      <w:r>
        <w:rPr>
          <w:rFonts w:ascii="Symbola" w:hAnsi="Symbola"/>
          <w:vertAlign w:val="baseline"/>
        </w:rPr>
        <w:t> +</w:t>
      </w:r>
      <w:r>
        <w:rPr>
          <w:rFonts w:ascii="Symbola" w:hAnsi="Symbola"/>
          <w:spacing w:val="23"/>
          <w:vertAlign w:val="baseline"/>
        </w:rPr>
        <w:t> </w:t>
      </w:r>
      <w:r>
        <w:rPr>
          <w:rFonts w:ascii="Symbola" w:hAnsi="Symbola"/>
          <w:vertAlign w:val="baseline"/>
        </w:rPr>
        <w:t>2e</w:t>
      </w:r>
      <w:r>
        <w:rPr>
          <w:rFonts w:ascii="Symbola" w:hAnsi="Symbola"/>
          <w:vertAlign w:val="superscript"/>
        </w:rPr>
        <w:t>−</w:t>
      </w:r>
    </w:p>
    <w:p>
      <w:pPr>
        <w:pStyle w:val="BodyText"/>
        <w:tabs>
          <w:tab w:pos="3179" w:val="left" w:leader="none"/>
        </w:tabs>
        <w:spacing w:line="115" w:lineRule="exact" w:before="149"/>
        <w:ind w:left="1020"/>
        <w:rPr>
          <w:rFonts w:ascii="Symbola" w:hAnsi="Symbola"/>
        </w:rPr>
      </w:pPr>
      <w:r>
        <w:rPr/>
        <w:t>Fragmentation:</w:t>
        <w:tab/>
      </w:r>
      <w:r>
        <w:rPr>
          <w:rFonts w:ascii="Symbola" w:hAnsi="Symbola"/>
        </w:rPr>
        <w:t>CH</w:t>
      </w:r>
      <w:r>
        <w:rPr>
          <w:rFonts w:ascii="Symbola" w:hAnsi="Symbola"/>
          <w:vertAlign w:val="superscript"/>
        </w:rPr>
        <w:t>•+</w:t>
      </w:r>
      <w:r>
        <w:rPr>
          <w:rFonts w:ascii="Symbola" w:hAnsi="Symbola"/>
          <w:vertAlign w:val="baseline"/>
        </w:rPr>
        <w:t> → </w:t>
      </w:r>
      <w:r>
        <w:rPr>
          <w:rFonts w:ascii="Symbola" w:hAnsi="Symbola"/>
          <w:spacing w:val="2"/>
          <w:vertAlign w:val="baseline"/>
        </w:rPr>
        <w:t>CH</w:t>
      </w:r>
      <w:r>
        <w:rPr>
          <w:rFonts w:ascii="Symbola" w:hAnsi="Symbola"/>
          <w:spacing w:val="2"/>
          <w:vertAlign w:val="superscript"/>
        </w:rPr>
        <w:t>+</w:t>
      </w:r>
      <w:r>
        <w:rPr>
          <w:rFonts w:ascii="Symbola" w:hAnsi="Symbola"/>
          <w:spacing w:val="2"/>
          <w:vertAlign w:val="baseline"/>
        </w:rPr>
        <w:t> </w:t>
      </w:r>
      <w:r>
        <w:rPr>
          <w:rFonts w:ascii="Symbola" w:hAnsi="Symbola"/>
          <w:vertAlign w:val="baseline"/>
        </w:rPr>
        <w:t>+</w:t>
      </w:r>
      <w:r>
        <w:rPr>
          <w:rFonts w:ascii="Symbola" w:hAnsi="Symbola"/>
          <w:spacing w:val="40"/>
          <w:vertAlign w:val="baseline"/>
        </w:rPr>
        <w:t> </w:t>
      </w:r>
      <w:r>
        <w:rPr>
          <w:rFonts w:ascii="Symbola" w:hAnsi="Symbola"/>
          <w:spacing w:val="4"/>
          <w:vertAlign w:val="baseline"/>
        </w:rPr>
        <w:t>H</w:t>
      </w:r>
      <w:r>
        <w:rPr>
          <w:rFonts w:ascii="Symbola" w:hAnsi="Symbola"/>
          <w:spacing w:val="4"/>
          <w:vertAlign w:val="superscript"/>
        </w:rPr>
        <w:t>•</w:t>
      </w:r>
    </w:p>
    <w:p>
      <w:pPr>
        <w:tabs>
          <w:tab w:pos="957" w:val="left" w:leader="none"/>
        </w:tabs>
        <w:spacing w:before="28"/>
        <w:ind w:left="0" w:right="908" w:firstLine="0"/>
        <w:jc w:val="center"/>
        <w:rPr>
          <w:rFonts w:ascii="Symbola"/>
          <w:sz w:val="17"/>
        </w:rPr>
      </w:pPr>
      <w:r>
        <w:rPr>
          <w:rFonts w:ascii="Symbola"/>
          <w:w w:val="115"/>
          <w:sz w:val="17"/>
        </w:rPr>
        <w:t>4</w:t>
        <w:tab/>
        <w:t>3</w:t>
      </w:r>
    </w:p>
    <w:p>
      <w:pPr>
        <w:spacing w:line="114" w:lineRule="exact" w:before="112"/>
        <w:ind w:left="129" w:right="617" w:firstLine="0"/>
        <w:jc w:val="center"/>
        <w:rPr>
          <w:rFonts w:ascii="Symbola" w:hAnsi="Symbola"/>
          <w:sz w:val="17"/>
        </w:rPr>
      </w:pPr>
      <w:r>
        <w:rPr>
          <w:rFonts w:ascii="Symbola" w:hAnsi="Symbola"/>
          <w:sz w:val="24"/>
        </w:rPr>
        <w:t>CH</w:t>
      </w:r>
      <w:r>
        <w:rPr>
          <w:rFonts w:ascii="Symbola" w:hAnsi="Symbola"/>
          <w:position w:val="9"/>
          <w:sz w:val="17"/>
        </w:rPr>
        <w:t>•+   </w:t>
      </w:r>
      <w:r>
        <w:rPr>
          <w:rFonts w:ascii="Symbola" w:hAnsi="Symbola"/>
          <w:sz w:val="24"/>
        </w:rPr>
        <w:t>→  CH</w:t>
      </w:r>
      <w:r>
        <w:rPr>
          <w:rFonts w:ascii="Symbola" w:hAnsi="Symbola"/>
          <w:position w:val="9"/>
          <w:sz w:val="17"/>
        </w:rPr>
        <w:t>•+  </w:t>
      </w:r>
      <w:r>
        <w:rPr>
          <w:rFonts w:ascii="Symbola" w:hAnsi="Symbola"/>
          <w:sz w:val="24"/>
        </w:rPr>
        <w:t>+ H</w:t>
      </w:r>
      <w:r>
        <w:rPr>
          <w:rFonts w:ascii="Symbola" w:hAnsi="Symbola"/>
          <w:position w:val="-4"/>
          <w:sz w:val="17"/>
        </w:rPr>
        <w:t>2</w:t>
      </w:r>
    </w:p>
    <w:p>
      <w:pPr>
        <w:tabs>
          <w:tab w:pos="957" w:val="left" w:leader="none"/>
        </w:tabs>
        <w:spacing w:before="29"/>
        <w:ind w:left="0" w:right="908" w:firstLine="0"/>
        <w:jc w:val="center"/>
        <w:rPr>
          <w:rFonts w:ascii="Symbola"/>
          <w:sz w:val="17"/>
        </w:rPr>
      </w:pPr>
      <w:r>
        <w:rPr>
          <w:rFonts w:ascii="Symbola"/>
          <w:w w:val="115"/>
          <w:sz w:val="17"/>
        </w:rPr>
        <w:t>4</w:t>
        <w:tab/>
        <w:t>2</w:t>
      </w:r>
    </w:p>
    <w:p>
      <w:pPr>
        <w:pStyle w:val="BodyText"/>
        <w:spacing w:before="101"/>
        <w:ind w:left="299"/>
      </w:pPr>
      <w:r>
        <w:rPr/>
        <w:t>The radical cations and the carbocations can react with the reagent gas to give various</w:t>
      </w:r>
    </w:p>
    <w:p>
      <w:pPr>
        <w:pStyle w:val="BodyText"/>
        <w:tabs>
          <w:tab w:pos="2459" w:val="left" w:leader="none"/>
          <w:tab w:pos="4619" w:val="left" w:leader="none"/>
        </w:tabs>
        <w:spacing w:line="115" w:lineRule="exact" w:before="147"/>
        <w:ind w:left="299"/>
        <w:rPr>
          <w:rFonts w:ascii="Symbola" w:hAnsi="Symbola"/>
        </w:rPr>
      </w:pPr>
      <w:r>
        <w:rPr/>
        <w:t>protonated</w:t>
      </w:r>
      <w:r>
        <w:rPr>
          <w:spacing w:val="-2"/>
        </w:rPr>
        <w:t> </w:t>
      </w:r>
      <w:r>
        <w:rPr/>
        <w:t>species:</w:t>
        <w:tab/>
        <w:t>Reactions:</w:t>
        <w:tab/>
      </w:r>
      <w:r>
        <w:rPr>
          <w:rFonts w:ascii="Symbola" w:hAnsi="Symbola"/>
        </w:rPr>
        <w:t>CH</w:t>
      </w:r>
      <w:r>
        <w:rPr>
          <w:rFonts w:ascii="Symbola" w:hAnsi="Symbola"/>
          <w:vertAlign w:val="superscript"/>
        </w:rPr>
        <w:t>•+</w:t>
      </w:r>
      <w:r>
        <w:rPr>
          <w:rFonts w:ascii="Symbola" w:hAnsi="Symbola"/>
          <w:vertAlign w:val="baseline"/>
        </w:rPr>
        <w:t> + CH</w:t>
      </w:r>
      <w:r>
        <w:rPr>
          <w:rFonts w:ascii="Symbola" w:hAnsi="Symbola"/>
          <w:vertAlign w:val="subscript"/>
        </w:rPr>
        <w:t>4</w:t>
      </w:r>
      <w:r>
        <w:rPr>
          <w:rFonts w:ascii="Symbola" w:hAnsi="Symbola"/>
          <w:vertAlign w:val="baseline"/>
        </w:rPr>
        <w:t> → </w:t>
      </w:r>
      <w:r>
        <w:rPr>
          <w:rFonts w:ascii="Symbola" w:hAnsi="Symbola"/>
          <w:spacing w:val="2"/>
          <w:vertAlign w:val="baseline"/>
        </w:rPr>
        <w:t>CH</w:t>
      </w:r>
      <w:r>
        <w:rPr>
          <w:rFonts w:ascii="Symbola" w:hAnsi="Symbola"/>
          <w:spacing w:val="2"/>
          <w:vertAlign w:val="superscript"/>
        </w:rPr>
        <w:t>+</w:t>
      </w:r>
      <w:r>
        <w:rPr>
          <w:rFonts w:ascii="Symbola" w:hAnsi="Symbola"/>
          <w:spacing w:val="2"/>
          <w:vertAlign w:val="baseline"/>
        </w:rPr>
        <w:t> </w:t>
      </w:r>
      <w:r>
        <w:rPr>
          <w:rFonts w:ascii="Symbola" w:hAnsi="Symbola"/>
          <w:vertAlign w:val="baseline"/>
        </w:rPr>
        <w:t>+</w:t>
      </w:r>
      <w:r>
        <w:rPr>
          <w:rFonts w:ascii="Symbola" w:hAnsi="Symbola"/>
          <w:spacing w:val="-7"/>
          <w:vertAlign w:val="baseline"/>
        </w:rPr>
        <w:t> </w:t>
      </w:r>
      <w:r>
        <w:rPr>
          <w:rFonts w:ascii="Symbola" w:hAnsi="Symbola"/>
          <w:spacing w:val="2"/>
          <w:vertAlign w:val="baseline"/>
        </w:rPr>
        <w:t>CH</w:t>
      </w:r>
      <w:r>
        <w:rPr>
          <w:rFonts w:ascii="Symbola" w:hAnsi="Symbola"/>
          <w:spacing w:val="2"/>
          <w:vertAlign w:val="superscript"/>
        </w:rPr>
        <w:t>•</w:t>
      </w:r>
    </w:p>
    <w:p>
      <w:pPr>
        <w:tabs>
          <w:tab w:pos="6623" w:val="left" w:leader="none"/>
          <w:tab w:pos="7403" w:val="left" w:leader="none"/>
        </w:tabs>
        <w:spacing w:before="31"/>
        <w:ind w:left="4920" w:right="0" w:firstLine="0"/>
        <w:jc w:val="left"/>
        <w:rPr>
          <w:rFonts w:ascii="Symbola"/>
          <w:sz w:val="17"/>
        </w:rPr>
      </w:pPr>
      <w:r>
        <w:rPr>
          <w:rFonts w:ascii="Symbola"/>
          <w:w w:val="115"/>
          <w:sz w:val="17"/>
        </w:rPr>
        <w:t>4</w:t>
        <w:tab/>
        <w:t>5</w:t>
        <w:tab/>
        <w:t>3</w:t>
      </w:r>
    </w:p>
    <w:p>
      <w:pPr>
        <w:pStyle w:val="BodyText"/>
        <w:spacing w:line="79" w:lineRule="exact" w:before="145"/>
        <w:ind w:left="829" w:right="617"/>
        <w:jc w:val="center"/>
        <w:rPr>
          <w:rFonts w:ascii="Symbola" w:hAnsi="Symbola"/>
        </w:rPr>
      </w:pPr>
      <w:r>
        <w:rPr>
          <w:rFonts w:ascii="Symbola" w:hAnsi="Symbola"/>
        </w:rPr>
        <w:t>CH</w:t>
      </w:r>
      <w:r>
        <w:rPr>
          <w:rFonts w:ascii="Symbola" w:hAnsi="Symbola"/>
          <w:vertAlign w:val="superscript"/>
        </w:rPr>
        <w:t>+</w:t>
      </w:r>
      <w:r>
        <w:rPr>
          <w:rFonts w:ascii="Symbola" w:hAnsi="Symbola"/>
          <w:vertAlign w:val="baseline"/>
        </w:rPr>
        <w:t> +  CH</w:t>
      </w:r>
      <w:r>
        <w:rPr>
          <w:rFonts w:ascii="Symbola" w:hAnsi="Symbola"/>
          <w:vertAlign w:val="subscript"/>
        </w:rPr>
        <w:t>4</w:t>
      </w:r>
      <w:r>
        <w:rPr>
          <w:rFonts w:ascii="Symbola" w:hAnsi="Symbola"/>
          <w:vertAlign w:val="baseline"/>
        </w:rPr>
        <w:t>  →  C</w:t>
      </w:r>
      <w:r>
        <w:rPr>
          <w:rFonts w:ascii="Symbola" w:hAnsi="Symbola"/>
          <w:vertAlign w:val="subscript"/>
        </w:rPr>
        <w:t>2</w:t>
      </w:r>
      <w:r>
        <w:rPr>
          <w:rFonts w:ascii="Symbola" w:hAnsi="Symbola"/>
          <w:vertAlign w:val="baseline"/>
        </w:rPr>
        <w:t>H</w:t>
      </w:r>
      <w:r>
        <w:rPr>
          <w:rFonts w:ascii="Symbola" w:hAnsi="Symbola"/>
          <w:vertAlign w:val="superscript"/>
        </w:rPr>
        <w:t>+</w:t>
      </w:r>
      <w:r>
        <w:rPr>
          <w:rFonts w:ascii="Symbola" w:hAnsi="Symbola"/>
          <w:vertAlign w:val="baseline"/>
        </w:rPr>
        <w:t> + H</w:t>
      </w:r>
      <w:r>
        <w:rPr>
          <w:rFonts w:ascii="Symbola" w:hAnsi="Symbola"/>
          <w:vertAlign w:val="subscript"/>
        </w:rPr>
        <w:t>2</w:t>
      </w:r>
    </w:p>
    <w:p>
      <w:pPr>
        <w:tabs>
          <w:tab w:pos="1737" w:val="left" w:leader="none"/>
        </w:tabs>
        <w:spacing w:before="31"/>
        <w:ind w:left="0" w:right="128" w:firstLine="0"/>
        <w:jc w:val="center"/>
        <w:rPr>
          <w:rFonts w:ascii="Symbola"/>
          <w:sz w:val="17"/>
        </w:rPr>
      </w:pPr>
      <w:r>
        <w:rPr>
          <w:rFonts w:ascii="Symbola"/>
          <w:w w:val="115"/>
          <w:sz w:val="17"/>
        </w:rPr>
        <w:t>3</w:t>
        <w:tab/>
        <w:t>5</w:t>
      </w:r>
    </w:p>
    <w:p>
      <w:pPr>
        <w:pStyle w:val="BodyText"/>
        <w:spacing w:before="101"/>
        <w:ind w:left="300"/>
        <w:jc w:val="both"/>
      </w:pPr>
      <w:r>
        <w:rPr/>
        <w:t>The analyte molecules acquire the protons from any one of these cations:</w:t>
      </w:r>
    </w:p>
    <w:p>
      <w:pPr>
        <w:pStyle w:val="BodyText"/>
        <w:spacing w:before="180"/>
        <w:ind w:left="3180"/>
        <w:rPr>
          <w:rFonts w:ascii="Symbola" w:hAnsi="Symbola"/>
        </w:rPr>
      </w:pPr>
      <w:r>
        <w:rPr/>
        <w:pict>
          <v:shape style="position:absolute;margin-left:278.399994pt;margin-top:13.074488pt;width:4.95pt;height:10pt;mso-position-horizontal-relative:page;mso-position-vertical-relative:paragraph;z-index:-18451968" type="#_x0000_t202" filled="false" stroked="false">
            <v:textbox inset="0,0,0,0">
              <w:txbxContent>
                <w:p>
                  <w:pPr>
                    <w:spacing w:before="28"/>
                    <w:ind w:left="0" w:right="0" w:firstLine="0"/>
                    <w:jc w:val="left"/>
                    <w:rPr>
                      <w:rFonts w:ascii="Symbola"/>
                      <w:sz w:val="17"/>
                    </w:rPr>
                  </w:pPr>
                  <w:r>
                    <w:rPr>
                      <w:rFonts w:ascii="Symbola"/>
                      <w:w w:val="115"/>
                      <w:sz w:val="17"/>
                    </w:rPr>
                    <w:t>5</w:t>
                  </w:r>
                </w:p>
              </w:txbxContent>
            </v:textbox>
            <w10:wrap type="none"/>
          </v:shape>
        </w:pict>
      </w:r>
      <w:r>
        <w:rPr>
          <w:rFonts w:ascii="Symbola" w:hAnsi="Symbola"/>
        </w:rPr>
        <w:t>M + CH</w:t>
      </w:r>
      <w:r>
        <w:rPr>
          <w:rFonts w:ascii="Symbola" w:hAnsi="Symbola"/>
          <w:vertAlign w:val="superscript"/>
        </w:rPr>
        <w:t>+</w:t>
      </w:r>
      <w:r>
        <w:rPr>
          <w:rFonts w:ascii="Symbola" w:hAnsi="Symbola"/>
          <w:vertAlign w:val="baseline"/>
        </w:rPr>
        <w:t> → MH</w:t>
      </w:r>
      <w:r>
        <w:rPr>
          <w:rFonts w:ascii="Symbola" w:hAnsi="Symbola"/>
          <w:vertAlign w:val="superscript"/>
        </w:rPr>
        <w:t>+</w:t>
      </w:r>
      <w:r>
        <w:rPr>
          <w:rFonts w:ascii="Symbola" w:hAnsi="Symbola"/>
          <w:vertAlign w:val="baseline"/>
        </w:rPr>
        <w:t> + CH</w:t>
      </w:r>
      <w:r>
        <w:rPr>
          <w:rFonts w:ascii="Symbola" w:hAnsi="Symbola"/>
          <w:vertAlign w:val="subscript"/>
        </w:rPr>
        <w:t>4</w:t>
      </w:r>
    </w:p>
    <w:p>
      <w:pPr>
        <w:pStyle w:val="BodyText"/>
        <w:spacing w:line="360" w:lineRule="auto" w:before="142"/>
        <w:ind w:left="300" w:right="315"/>
        <w:jc w:val="both"/>
      </w:pPr>
      <w:r>
        <w:rPr/>
        <w:t>The ion, MH</w:t>
      </w:r>
      <w:r>
        <w:rPr>
          <w:vertAlign w:val="superscript"/>
        </w:rPr>
        <w:t>+</w:t>
      </w:r>
      <w:r>
        <w:rPr>
          <w:vertAlign w:val="baseline"/>
        </w:rPr>
        <w:t> is called the quasimolecular or pseudomolecular ion as its mass is one unit more than the molecular mass. Saturated hydrocarbons usually ionize through hydride abstraction by the reagent gas cation:</w:t>
      </w:r>
    </w:p>
    <w:p>
      <w:pPr>
        <w:pStyle w:val="BodyText"/>
        <w:spacing w:before="44"/>
        <w:ind w:left="3180"/>
        <w:rPr>
          <w:rFonts w:ascii="Symbola" w:hAnsi="Symbola"/>
        </w:rPr>
      </w:pPr>
      <w:r>
        <w:rPr/>
        <w:pict>
          <v:shape style="position:absolute;margin-left:284.279999pt;margin-top:6.274494pt;width:4.95pt;height:10pt;mso-position-horizontal-relative:page;mso-position-vertical-relative:paragraph;z-index:-18451456" type="#_x0000_t202" filled="false" stroked="false">
            <v:textbox inset="0,0,0,0">
              <w:txbxContent>
                <w:p>
                  <w:pPr>
                    <w:spacing w:before="28"/>
                    <w:ind w:left="0" w:right="0" w:firstLine="0"/>
                    <w:jc w:val="left"/>
                    <w:rPr>
                      <w:rFonts w:ascii="Symbola"/>
                      <w:sz w:val="17"/>
                    </w:rPr>
                  </w:pPr>
                  <w:r>
                    <w:rPr>
                      <w:rFonts w:ascii="Symbola"/>
                      <w:w w:val="115"/>
                      <w:sz w:val="17"/>
                    </w:rPr>
                    <w:t>5</w:t>
                  </w:r>
                </w:p>
              </w:txbxContent>
            </v:textbox>
            <w10:wrap type="none"/>
          </v:shape>
        </w:pict>
      </w:r>
      <w:r>
        <w:rPr>
          <w:rFonts w:ascii="Symbola" w:hAnsi="Symbola"/>
        </w:rPr>
        <w:t>RH + CH</w:t>
      </w:r>
      <w:r>
        <w:rPr>
          <w:rFonts w:ascii="Symbola" w:hAnsi="Symbola"/>
          <w:vertAlign w:val="superscript"/>
        </w:rPr>
        <w:t>+</w:t>
      </w:r>
      <w:r>
        <w:rPr>
          <w:rFonts w:ascii="Symbola" w:hAnsi="Symbola"/>
          <w:vertAlign w:val="baseline"/>
        </w:rPr>
        <w:t> → R</w:t>
      </w:r>
      <w:r>
        <w:rPr>
          <w:rFonts w:ascii="Symbola" w:hAnsi="Symbola"/>
          <w:vertAlign w:val="superscript"/>
        </w:rPr>
        <w:t>+</w:t>
      </w:r>
      <w:r>
        <w:rPr>
          <w:rFonts w:ascii="Symbola" w:hAnsi="Symbola"/>
          <w:vertAlign w:val="baseline"/>
        </w:rPr>
        <w:t> + CH</w:t>
      </w:r>
      <w:r>
        <w:rPr>
          <w:rFonts w:ascii="Symbola" w:hAnsi="Symbola"/>
          <w:vertAlign w:val="subscript"/>
        </w:rPr>
        <w:t>4</w:t>
      </w:r>
      <w:r>
        <w:rPr>
          <w:rFonts w:ascii="Symbola" w:hAnsi="Symbola"/>
          <w:vertAlign w:val="baseline"/>
        </w:rPr>
        <w:t> + H</w:t>
      </w:r>
      <w:r>
        <w:rPr>
          <w:rFonts w:ascii="Symbola" w:hAnsi="Symbola"/>
          <w:vertAlign w:val="subscript"/>
        </w:rPr>
        <w:t>2</w:t>
      </w:r>
    </w:p>
    <w:p>
      <w:pPr>
        <w:pStyle w:val="BodyText"/>
        <w:spacing w:line="360" w:lineRule="auto" w:before="142"/>
        <w:ind w:left="300" w:right="316"/>
        <w:jc w:val="both"/>
      </w:pPr>
      <w:r>
        <w:rPr/>
        <w:t>The chemical ionization method imparts little excess energy to the molecular ions thereby resulting in lesser fragmentation as compared to the electron ionization method. Furthermore, the degree of fragmentation depends on the reagent gas used for chemical ionization. The fragmentation caused by isobutane and ammonia is considerably less than that caused by methane. Like electron ionization, chemical ionization is also suitable only for gaseous samples limiting it to the gases and volatile liquids.</w:t>
      </w:r>
    </w:p>
    <w:p>
      <w:pPr>
        <w:spacing w:after="0" w:line="360" w:lineRule="auto"/>
        <w:jc w:val="both"/>
        <w:sectPr>
          <w:pgSz w:w="11910" w:h="16840"/>
          <w:pgMar w:header="722" w:footer="748" w:top="1300" w:bottom="940" w:left="1500" w:right="1480"/>
        </w:sectPr>
      </w:pPr>
    </w:p>
    <w:p>
      <w:pPr>
        <w:spacing w:before="119"/>
        <w:ind w:left="300" w:right="0" w:firstLine="0"/>
        <w:jc w:val="both"/>
        <w:rPr>
          <w:i/>
          <w:sz w:val="24"/>
        </w:rPr>
      </w:pPr>
      <w:r>
        <w:rPr>
          <w:i/>
          <w:sz w:val="24"/>
        </w:rPr>
        <w:t>Fast Atom Bombardment (FAB)</w:t>
      </w:r>
    </w:p>
    <w:p>
      <w:pPr>
        <w:pStyle w:val="BodyText"/>
        <w:spacing w:before="5"/>
        <w:rPr>
          <w:i/>
          <w:sz w:val="29"/>
        </w:rPr>
      </w:pPr>
    </w:p>
    <w:p>
      <w:pPr>
        <w:pStyle w:val="BodyText"/>
        <w:spacing w:line="360" w:lineRule="auto"/>
        <w:ind w:left="300" w:right="316"/>
        <w:jc w:val="both"/>
      </w:pPr>
      <w:r>
        <w:rPr/>
        <w:t>Fast atom bombardment is a soft ionization technique </w:t>
      </w:r>
      <w:r>
        <w:rPr>
          <w:i/>
        </w:rPr>
        <w:t>i.e. </w:t>
      </w:r>
      <w:r>
        <w:rPr/>
        <w:t>it causes little fragmentation of the molecular ions generated. In fast atom bombardment ionization methods, the sample is dissolved in a non-volatile liquid and the ions are extracted by bombarding the sample with a beam of high energy atoms (~5 keV), usually argon (sometimes xenon). The commonly used liquid matrices include glycerol, thioglycerol, and </w:t>
      </w:r>
      <w:r>
        <w:rPr>
          <w:i/>
        </w:rPr>
        <w:t>m</w:t>
      </w:r>
      <w:r>
        <w:rPr/>
        <w:t>- nitrobenzyl alcohol. Fast moving Argon atoms are generated as shown in the Figure</w:t>
      </w:r>
    </w:p>
    <w:p>
      <w:pPr>
        <w:pStyle w:val="BodyText"/>
        <w:spacing w:line="360" w:lineRule="auto"/>
        <w:ind w:left="299" w:right="314"/>
        <w:jc w:val="both"/>
      </w:pPr>
      <w:r>
        <w:rPr/>
        <w:t>11.6. The Argon radical cations (Ar</w:t>
      </w:r>
      <w:r>
        <w:rPr>
          <w:vertAlign w:val="superscript"/>
        </w:rPr>
        <w:t>•+</w:t>
      </w:r>
      <w:r>
        <w:rPr>
          <w:vertAlign w:val="baseline"/>
        </w:rPr>
        <w:t>), generated through electron ionization, are accelerated and focused as a sharp beam. The high energy Ar</w:t>
      </w:r>
      <w:r>
        <w:rPr>
          <w:vertAlign w:val="superscript"/>
        </w:rPr>
        <w:t>•+</w:t>
      </w:r>
      <w:r>
        <w:rPr>
          <w:vertAlign w:val="baseline"/>
        </w:rPr>
        <w:t> ions are allowed to collide with the Ar atoms resulting in the neutralization of some of the Ar</w:t>
      </w:r>
      <w:r>
        <w:rPr>
          <w:vertAlign w:val="superscript"/>
        </w:rPr>
        <w:t>•+</w:t>
      </w:r>
      <w:r>
        <w:rPr>
          <w:vertAlign w:val="baseline"/>
        </w:rPr>
        <w:t> ions in the beam. The residual Ar</w:t>
      </w:r>
      <w:r>
        <w:rPr>
          <w:vertAlign w:val="superscript"/>
        </w:rPr>
        <w:t>•+</w:t>
      </w:r>
      <w:r>
        <w:rPr>
          <w:vertAlign w:val="baseline"/>
        </w:rPr>
        <w:t> in the beam are extracted out by applying an electric field, thereby resulting in a beam of fast moving atoms. The atoms collide with the sample dissolved in the liquid matrix extracting the ions into the gas phase.</w:t>
      </w:r>
    </w:p>
    <w:p>
      <w:pPr>
        <w:pStyle w:val="BodyText"/>
        <w:spacing w:before="10"/>
        <w:rPr>
          <w:sz w:val="15"/>
        </w:rPr>
      </w:pPr>
      <w:r>
        <w:rPr/>
        <w:drawing>
          <wp:anchor distT="0" distB="0" distL="0" distR="0" allowOverlap="1" layoutInCell="1" locked="0" behindDoc="0" simplePos="0" relativeHeight="172">
            <wp:simplePos x="0" y="0"/>
            <wp:positionH relativeFrom="page">
              <wp:posOffset>1710826</wp:posOffset>
            </wp:positionH>
            <wp:positionV relativeFrom="paragraph">
              <wp:posOffset>141077</wp:posOffset>
            </wp:positionV>
            <wp:extent cx="4324334" cy="3340227"/>
            <wp:effectExtent l="0" t="0" r="0" b="0"/>
            <wp:wrapTopAndBottom/>
            <wp:docPr id="133" name="image71.png" descr="Figure 11.6.tif"/>
            <wp:cNvGraphicFramePr>
              <a:graphicFrameLocks noChangeAspect="1"/>
            </wp:cNvGraphicFramePr>
            <a:graphic>
              <a:graphicData uri="http://schemas.openxmlformats.org/drawingml/2006/picture">
                <pic:pic>
                  <pic:nvPicPr>
                    <pic:cNvPr id="134" name="image71.png"/>
                    <pic:cNvPicPr/>
                  </pic:nvPicPr>
                  <pic:blipFill>
                    <a:blip r:embed="rId79" cstate="print"/>
                    <a:stretch>
                      <a:fillRect/>
                    </a:stretch>
                  </pic:blipFill>
                  <pic:spPr>
                    <a:xfrm>
                      <a:off x="0" y="0"/>
                      <a:ext cx="4324334" cy="3340227"/>
                    </a:xfrm>
                    <a:prstGeom prst="rect">
                      <a:avLst/>
                    </a:prstGeom>
                  </pic:spPr>
                </pic:pic>
              </a:graphicData>
            </a:graphic>
          </wp:anchor>
        </w:drawing>
      </w:r>
    </w:p>
    <w:p>
      <w:pPr>
        <w:pStyle w:val="BodyText"/>
        <w:spacing w:before="3"/>
        <w:rPr>
          <w:sz w:val="25"/>
        </w:rPr>
      </w:pPr>
    </w:p>
    <w:p>
      <w:pPr>
        <w:spacing w:before="0"/>
        <w:ind w:left="667" w:right="0" w:firstLine="0"/>
        <w:jc w:val="left"/>
        <w:rPr>
          <w:b/>
          <w:sz w:val="16"/>
        </w:rPr>
      </w:pPr>
      <w:r>
        <w:rPr>
          <w:b/>
          <w:sz w:val="16"/>
        </w:rPr>
        <w:t>Figure 11.6 Diagram showing the generation of fast moving atoms and sample ionization in FAB ionization source</w:t>
      </w:r>
    </w:p>
    <w:p>
      <w:pPr>
        <w:spacing w:after="0"/>
        <w:jc w:val="left"/>
        <w:rPr>
          <w:sz w:val="16"/>
        </w:rPr>
        <w:sectPr>
          <w:pgSz w:w="11910" w:h="16840"/>
          <w:pgMar w:header="722" w:footer="748" w:top="1300" w:bottom="940" w:left="1500" w:right="1480"/>
        </w:sectPr>
      </w:pPr>
    </w:p>
    <w:p>
      <w:pPr>
        <w:pStyle w:val="BodyText"/>
        <w:spacing w:line="360" w:lineRule="auto" w:before="119"/>
        <w:ind w:left="300" w:right="317"/>
        <w:jc w:val="both"/>
      </w:pPr>
      <w:r>
        <w:rPr/>
        <w:t>FAB causes little or no ionization but desorbs the ions already existing in the solution into the gas phase. FAB causes desorption of the ions present on the surface of the matrix; the compounds having higher surface activity are therefore detected better. FAB is particularly good for polar molecules with large molecular weights and molecules up to 10,000 Da can be detected. It is therefore possible to detect biomolecules like peptides, oligonucleotides, and oligosaccharides using FAB ionization.</w:t>
      </w:r>
    </w:p>
    <w:p>
      <w:pPr>
        <w:spacing w:before="201"/>
        <w:ind w:left="360" w:right="0" w:firstLine="0"/>
        <w:jc w:val="both"/>
        <w:rPr>
          <w:i/>
          <w:sz w:val="24"/>
        </w:rPr>
      </w:pPr>
      <w:r>
        <w:rPr>
          <w:i/>
          <w:sz w:val="24"/>
        </w:rPr>
        <w:t>Liquid secondary ion mass spectrometry (LSIMS)</w:t>
      </w:r>
    </w:p>
    <w:p>
      <w:pPr>
        <w:pStyle w:val="BodyText"/>
        <w:spacing w:before="5"/>
        <w:rPr>
          <w:i/>
          <w:sz w:val="29"/>
        </w:rPr>
      </w:pPr>
    </w:p>
    <w:p>
      <w:pPr>
        <w:pStyle w:val="BodyText"/>
        <w:spacing w:line="360" w:lineRule="auto"/>
        <w:ind w:left="300" w:right="320"/>
        <w:jc w:val="both"/>
      </w:pPr>
      <w:r>
        <w:rPr/>
        <w:t>LSIMS is similar to FAB, with only difference that an ion is used for bombarding the samples. Usually argon, xenon, or caesium ions are used for the LSIMS.</w:t>
      </w:r>
    </w:p>
    <w:p>
      <w:pPr>
        <w:spacing w:before="199"/>
        <w:ind w:left="300" w:right="0" w:firstLine="0"/>
        <w:jc w:val="both"/>
        <w:rPr>
          <w:i/>
          <w:sz w:val="24"/>
        </w:rPr>
      </w:pPr>
      <w:r>
        <w:rPr>
          <w:i/>
          <w:sz w:val="24"/>
        </w:rPr>
        <w:t>Laser desorption</w:t>
      </w:r>
    </w:p>
    <w:p>
      <w:pPr>
        <w:pStyle w:val="BodyText"/>
        <w:spacing w:before="5"/>
        <w:rPr>
          <w:i/>
          <w:sz w:val="29"/>
        </w:rPr>
      </w:pPr>
    </w:p>
    <w:p>
      <w:pPr>
        <w:pStyle w:val="BodyText"/>
        <w:spacing w:line="360" w:lineRule="auto"/>
        <w:ind w:left="300" w:right="317"/>
        <w:jc w:val="both"/>
      </w:pPr>
      <w:r>
        <w:rPr/>
        <w:t>Laser desorption or laser ablation is the ionization method wherein an intense laser beam is focused on a solid sample resulting in ablation of mass from the surface. The laser pulse causes both desorption and ionization of the molecules. The ions generated are short-lived and therefore detected simultaneously. Laser desorption, however, causes fragmentation for large molecules (Molecular mass &gt;500 Da) therefore restricting its use to small molecules.</w:t>
      </w:r>
    </w:p>
    <w:p>
      <w:pPr>
        <w:pStyle w:val="BodyText"/>
        <w:spacing w:line="360" w:lineRule="auto" w:before="200"/>
        <w:ind w:left="300" w:right="314"/>
        <w:jc w:val="both"/>
      </w:pPr>
      <w:r>
        <w:rPr/>
        <w:t>Owing to the difficulty in generating gas phase ions of biomolecules like proteins and nucleic acids, the application of mass spectrometry, till late 1980s, was largely restricted to the small organic molecules and biomolecules (amino acids, peptides, oligonucleotides, etc.). Therefore, mass spectrometry was not of much use for biochemists. Advent of two ionization methods around 1987-88 revolutionized the area of biomolecular mass spectrometry. Both these methods are routinely used for identifying and characterizing the biomolecules.</w:t>
      </w:r>
    </w:p>
    <w:p>
      <w:pPr>
        <w:spacing w:before="200"/>
        <w:ind w:left="300" w:right="0" w:firstLine="0"/>
        <w:jc w:val="both"/>
        <w:rPr>
          <w:i/>
          <w:sz w:val="24"/>
        </w:rPr>
      </w:pPr>
      <w:r>
        <w:rPr>
          <w:i/>
          <w:sz w:val="24"/>
        </w:rPr>
        <w:t>Matrix-assisted laser desorption ionization (MALDI)</w:t>
      </w:r>
    </w:p>
    <w:p>
      <w:pPr>
        <w:pStyle w:val="BodyText"/>
        <w:spacing w:before="3"/>
        <w:rPr>
          <w:i/>
          <w:sz w:val="29"/>
        </w:rPr>
      </w:pPr>
    </w:p>
    <w:p>
      <w:pPr>
        <w:pStyle w:val="BodyText"/>
        <w:spacing w:line="360" w:lineRule="auto"/>
        <w:ind w:left="300" w:right="316"/>
        <w:jc w:val="both"/>
      </w:pPr>
      <w:r>
        <w:rPr/>
        <w:t>MALDI is basically a laser desorption ionization method wherein ionization is assisted by small organic molecules, called matrix. The matrices used in positive ion mode MALDI mass spectrometry are organic acids that have strong absorption for the wavelength of the laser used. Some of the commonly used MALDI matrices are listed in Table</w:t>
      </w:r>
      <w:r>
        <w:rPr>
          <w:spacing w:val="-2"/>
        </w:rPr>
        <w:t> </w:t>
      </w:r>
      <w:r>
        <w:rPr/>
        <w:t>11.1.</w:t>
      </w:r>
    </w:p>
    <w:p>
      <w:pPr>
        <w:spacing w:after="0" w:line="360" w:lineRule="auto"/>
        <w:jc w:val="both"/>
        <w:sectPr>
          <w:pgSz w:w="11910" w:h="16840"/>
          <w:pgMar w:header="722" w:footer="748" w:top="1300" w:bottom="940" w:left="1500" w:right="1480"/>
        </w:sectPr>
      </w:pPr>
    </w:p>
    <w:p>
      <w:pPr>
        <w:pStyle w:val="BodyText"/>
        <w:spacing w:before="10"/>
        <w:rPr>
          <w:sz w:val="10"/>
        </w:rPr>
      </w:pPr>
    </w:p>
    <w:tbl>
      <w:tblPr>
        <w:tblW w:w="0" w:type="auto"/>
        <w:jc w:val="left"/>
        <w:tblInd w:w="3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289"/>
        <w:gridCol w:w="3970"/>
      </w:tblGrid>
      <w:tr>
        <w:trPr>
          <w:trHeight w:val="474" w:hRule="atLeast"/>
        </w:trPr>
        <w:tc>
          <w:tcPr>
            <w:tcW w:w="8259" w:type="dxa"/>
            <w:gridSpan w:val="2"/>
          </w:tcPr>
          <w:p>
            <w:pPr>
              <w:pStyle w:val="TableParagraph"/>
              <w:spacing w:line="183" w:lineRule="exact"/>
              <w:ind w:left="1592" w:right="1581"/>
              <w:jc w:val="center"/>
              <w:rPr>
                <w:b/>
                <w:sz w:val="16"/>
              </w:rPr>
            </w:pPr>
            <w:r>
              <w:rPr>
                <w:b/>
                <w:sz w:val="16"/>
              </w:rPr>
              <w:t>Table 11.1 Some of the MALDI matrices commonly used for biomolecules</w:t>
            </w:r>
          </w:p>
        </w:tc>
      </w:tr>
      <w:tr>
        <w:trPr>
          <w:trHeight w:val="518" w:hRule="atLeast"/>
        </w:trPr>
        <w:tc>
          <w:tcPr>
            <w:tcW w:w="4289" w:type="dxa"/>
          </w:tcPr>
          <w:p>
            <w:pPr>
              <w:pStyle w:val="TableParagraph"/>
              <w:spacing w:line="240" w:lineRule="auto" w:before="1"/>
              <w:rPr>
                <w:b/>
                <w:sz w:val="24"/>
              </w:rPr>
            </w:pPr>
            <w:r>
              <w:rPr>
                <w:b/>
                <w:sz w:val="24"/>
              </w:rPr>
              <w:t>Matrix</w:t>
            </w:r>
          </w:p>
        </w:tc>
        <w:tc>
          <w:tcPr>
            <w:tcW w:w="3970" w:type="dxa"/>
          </w:tcPr>
          <w:p>
            <w:pPr>
              <w:pStyle w:val="TableParagraph"/>
              <w:spacing w:line="240" w:lineRule="auto" w:before="1"/>
              <w:rPr>
                <w:b/>
                <w:sz w:val="24"/>
              </w:rPr>
            </w:pPr>
            <w:r>
              <w:rPr>
                <w:b/>
                <w:sz w:val="24"/>
              </w:rPr>
              <w:t>Analyte</w:t>
            </w:r>
          </w:p>
        </w:tc>
      </w:tr>
      <w:tr>
        <w:trPr>
          <w:trHeight w:val="834" w:hRule="atLeast"/>
        </w:trPr>
        <w:tc>
          <w:tcPr>
            <w:tcW w:w="4289" w:type="dxa"/>
          </w:tcPr>
          <w:p>
            <w:pPr>
              <w:pStyle w:val="TableParagraph"/>
              <w:spacing w:line="278" w:lineRule="auto"/>
              <w:ind w:right="93"/>
              <w:rPr>
                <w:sz w:val="24"/>
              </w:rPr>
            </w:pPr>
            <w:r>
              <w:rPr>
                <w:sz w:val="24"/>
              </w:rPr>
              <w:t>α-Cyano-4-hydroxycinnamic acid (CHCA or HCCA)</w:t>
            </w:r>
          </w:p>
        </w:tc>
        <w:tc>
          <w:tcPr>
            <w:tcW w:w="3970" w:type="dxa"/>
          </w:tcPr>
          <w:p>
            <w:pPr>
              <w:pStyle w:val="TableParagraph"/>
              <w:spacing w:line="278" w:lineRule="auto"/>
              <w:ind w:right="1413"/>
              <w:rPr>
                <w:sz w:val="24"/>
              </w:rPr>
            </w:pPr>
            <w:r>
              <w:rPr>
                <w:sz w:val="24"/>
              </w:rPr>
              <w:t>Proteins, peptides, lipids, oligonucleotides</w:t>
            </w:r>
          </w:p>
        </w:tc>
      </w:tr>
      <w:tr>
        <w:trPr>
          <w:trHeight w:val="834" w:hRule="atLeast"/>
        </w:trPr>
        <w:tc>
          <w:tcPr>
            <w:tcW w:w="4289" w:type="dxa"/>
          </w:tcPr>
          <w:p>
            <w:pPr>
              <w:pStyle w:val="TableParagraph"/>
              <w:spacing w:line="240" w:lineRule="auto" w:before="152"/>
              <w:rPr>
                <w:sz w:val="24"/>
              </w:rPr>
            </w:pPr>
            <w:r>
              <w:rPr>
                <w:sz w:val="24"/>
              </w:rPr>
              <w:t>2,5-Dihydroxybenzoic acid (DHB)</w:t>
            </w:r>
          </w:p>
        </w:tc>
        <w:tc>
          <w:tcPr>
            <w:tcW w:w="3970" w:type="dxa"/>
          </w:tcPr>
          <w:p>
            <w:pPr>
              <w:pStyle w:val="TableParagraph"/>
              <w:spacing w:line="278" w:lineRule="auto"/>
              <w:ind w:right="360"/>
              <w:rPr>
                <w:sz w:val="24"/>
              </w:rPr>
            </w:pPr>
            <w:r>
              <w:rPr>
                <w:sz w:val="24"/>
              </w:rPr>
              <w:t>Proteins, peptides, oligonucleotides, oligosaccharides</w:t>
            </w:r>
          </w:p>
        </w:tc>
      </w:tr>
      <w:tr>
        <w:trPr>
          <w:trHeight w:val="834" w:hRule="atLeast"/>
        </w:trPr>
        <w:tc>
          <w:tcPr>
            <w:tcW w:w="4289" w:type="dxa"/>
          </w:tcPr>
          <w:p>
            <w:pPr>
              <w:pStyle w:val="TableParagraph"/>
              <w:spacing w:line="278" w:lineRule="auto"/>
              <w:ind w:right="273"/>
              <w:rPr>
                <w:sz w:val="24"/>
              </w:rPr>
            </w:pPr>
            <w:r>
              <w:rPr>
                <w:sz w:val="24"/>
              </w:rPr>
              <w:t>3,5-Dimethoxy-4-hydroxycinnamic acid (Sinapinic acid)</w:t>
            </w:r>
          </w:p>
        </w:tc>
        <w:tc>
          <w:tcPr>
            <w:tcW w:w="3970" w:type="dxa"/>
          </w:tcPr>
          <w:p>
            <w:pPr>
              <w:pStyle w:val="TableParagraph"/>
              <w:rPr>
                <w:sz w:val="24"/>
              </w:rPr>
            </w:pPr>
            <w:r>
              <w:rPr>
                <w:sz w:val="24"/>
              </w:rPr>
              <w:t>Proteins, peptides, lipids</w:t>
            </w:r>
          </w:p>
        </w:tc>
      </w:tr>
      <w:tr>
        <w:trPr>
          <w:trHeight w:val="517" w:hRule="atLeast"/>
        </w:trPr>
        <w:tc>
          <w:tcPr>
            <w:tcW w:w="4289" w:type="dxa"/>
          </w:tcPr>
          <w:p>
            <w:pPr>
              <w:pStyle w:val="TableParagraph"/>
              <w:rPr>
                <w:sz w:val="24"/>
              </w:rPr>
            </w:pPr>
            <w:r>
              <w:rPr>
                <w:sz w:val="24"/>
              </w:rPr>
              <w:t>3-Hydroxypicolinic acid (HPA)</w:t>
            </w:r>
          </w:p>
        </w:tc>
        <w:tc>
          <w:tcPr>
            <w:tcW w:w="3970" w:type="dxa"/>
          </w:tcPr>
          <w:p>
            <w:pPr>
              <w:pStyle w:val="TableParagraph"/>
              <w:rPr>
                <w:sz w:val="24"/>
              </w:rPr>
            </w:pPr>
            <w:r>
              <w:rPr>
                <w:sz w:val="24"/>
              </w:rPr>
              <w:t>Oligonucleotides</w:t>
            </w:r>
          </w:p>
        </w:tc>
      </w:tr>
      <w:tr>
        <w:trPr>
          <w:trHeight w:val="518" w:hRule="atLeast"/>
        </w:trPr>
        <w:tc>
          <w:tcPr>
            <w:tcW w:w="4289" w:type="dxa"/>
          </w:tcPr>
          <w:p>
            <w:pPr>
              <w:pStyle w:val="TableParagraph"/>
              <w:rPr>
                <w:sz w:val="24"/>
              </w:rPr>
            </w:pPr>
            <w:r>
              <w:rPr>
                <w:sz w:val="24"/>
              </w:rPr>
              <w:t>Trihydroxyacetophenone (THAP)</w:t>
            </w:r>
          </w:p>
        </w:tc>
        <w:tc>
          <w:tcPr>
            <w:tcW w:w="3970" w:type="dxa"/>
          </w:tcPr>
          <w:p>
            <w:pPr>
              <w:pStyle w:val="TableParagraph"/>
              <w:rPr>
                <w:sz w:val="24"/>
              </w:rPr>
            </w:pPr>
            <w:r>
              <w:rPr>
                <w:sz w:val="24"/>
              </w:rPr>
              <w:t>Oligonucleotides, oligosaccharides</w:t>
            </w:r>
          </w:p>
        </w:tc>
      </w:tr>
    </w:tbl>
    <w:p>
      <w:pPr>
        <w:pStyle w:val="BodyText"/>
        <w:rPr>
          <w:sz w:val="20"/>
        </w:rPr>
      </w:pPr>
    </w:p>
    <w:p>
      <w:pPr>
        <w:pStyle w:val="BodyText"/>
        <w:spacing w:before="1"/>
        <w:rPr>
          <w:sz w:val="25"/>
        </w:rPr>
      </w:pPr>
    </w:p>
    <w:p>
      <w:pPr>
        <w:pStyle w:val="BodyText"/>
        <w:spacing w:before="90"/>
        <w:ind w:left="300"/>
        <w:jc w:val="both"/>
      </w:pPr>
      <w:r>
        <w:rPr/>
        <w:t>The sample for MALDI is usually prepared in one of the following ways:</w:t>
      </w:r>
    </w:p>
    <w:p>
      <w:pPr>
        <w:pStyle w:val="BodyText"/>
        <w:spacing w:before="2"/>
        <w:rPr>
          <w:sz w:val="29"/>
        </w:rPr>
      </w:pPr>
    </w:p>
    <w:p>
      <w:pPr>
        <w:pStyle w:val="ListParagraph"/>
        <w:numPr>
          <w:ilvl w:val="0"/>
          <w:numId w:val="14"/>
        </w:numPr>
        <w:tabs>
          <w:tab w:pos="1020" w:val="left" w:leader="none"/>
        </w:tabs>
        <w:spacing w:line="360" w:lineRule="auto" w:before="1" w:after="0"/>
        <w:ind w:left="1020" w:right="317" w:hanging="488"/>
        <w:jc w:val="both"/>
        <w:rPr>
          <w:sz w:val="24"/>
        </w:rPr>
      </w:pPr>
      <w:r>
        <w:rPr>
          <w:sz w:val="24"/>
        </w:rPr>
        <w:t>mixing the analyte solution with the matrix solution → deposition of the mixture on a metallic plate → complete drying of the</w:t>
      </w:r>
      <w:r>
        <w:rPr>
          <w:spacing w:val="-9"/>
          <w:sz w:val="24"/>
        </w:rPr>
        <w:t> </w:t>
      </w:r>
      <w:r>
        <w:rPr>
          <w:sz w:val="24"/>
        </w:rPr>
        <w:t>sample</w:t>
      </w:r>
    </w:p>
    <w:p>
      <w:pPr>
        <w:pStyle w:val="ListParagraph"/>
        <w:numPr>
          <w:ilvl w:val="0"/>
          <w:numId w:val="14"/>
        </w:numPr>
        <w:tabs>
          <w:tab w:pos="1020" w:val="left" w:leader="none"/>
        </w:tabs>
        <w:spacing w:line="360" w:lineRule="auto" w:before="0" w:after="0"/>
        <w:ind w:left="1020" w:right="315" w:hanging="555"/>
        <w:jc w:val="both"/>
        <w:rPr>
          <w:sz w:val="24"/>
        </w:rPr>
      </w:pPr>
      <w:r>
        <w:rPr>
          <w:sz w:val="24"/>
        </w:rPr>
        <w:t>Deposition of the matrix on the metallic plate → drying of matrix → addition of analyte solution → drying of analyte</w:t>
      </w:r>
      <w:r>
        <w:rPr>
          <w:spacing w:val="-8"/>
          <w:sz w:val="24"/>
        </w:rPr>
        <w:t> </w:t>
      </w:r>
      <w:r>
        <w:rPr>
          <w:sz w:val="24"/>
        </w:rPr>
        <w:t>solution</w:t>
      </w:r>
    </w:p>
    <w:p>
      <w:pPr>
        <w:pStyle w:val="BodyText"/>
        <w:spacing w:line="360" w:lineRule="auto" w:before="201"/>
        <w:ind w:left="300" w:right="316"/>
        <w:jc w:val="both"/>
      </w:pPr>
      <w:r>
        <w:rPr/>
        <w:t>Desorption and ionization is achieved by applying the laser pulse on the dried sample. Although the exact mechanism behind MALDI is not completely understood, it is believed that the absorption of light by the matrix molecules causes sublimation of matrix crystals carrying along with them the analyte molecules into the gas phase (Figure 11.7).</w:t>
      </w:r>
    </w:p>
    <w:p>
      <w:pPr>
        <w:pStyle w:val="BodyText"/>
        <w:spacing w:before="6"/>
        <w:rPr>
          <w:sz w:val="15"/>
        </w:rPr>
      </w:pPr>
      <w:r>
        <w:rPr/>
        <w:drawing>
          <wp:anchor distT="0" distB="0" distL="0" distR="0" allowOverlap="1" layoutInCell="1" locked="0" behindDoc="0" simplePos="0" relativeHeight="173">
            <wp:simplePos x="0" y="0"/>
            <wp:positionH relativeFrom="page">
              <wp:posOffset>1648244</wp:posOffset>
            </wp:positionH>
            <wp:positionV relativeFrom="paragraph">
              <wp:posOffset>138635</wp:posOffset>
            </wp:positionV>
            <wp:extent cx="4397666" cy="1993391"/>
            <wp:effectExtent l="0" t="0" r="0" b="0"/>
            <wp:wrapTopAndBottom/>
            <wp:docPr id="135" name="image72.jpeg" descr="Figure 11.7.tif"/>
            <wp:cNvGraphicFramePr>
              <a:graphicFrameLocks noChangeAspect="1"/>
            </wp:cNvGraphicFramePr>
            <a:graphic>
              <a:graphicData uri="http://schemas.openxmlformats.org/drawingml/2006/picture">
                <pic:pic>
                  <pic:nvPicPr>
                    <pic:cNvPr id="136" name="image72.jpeg"/>
                    <pic:cNvPicPr/>
                  </pic:nvPicPr>
                  <pic:blipFill>
                    <a:blip r:embed="rId80" cstate="print"/>
                    <a:stretch>
                      <a:fillRect/>
                    </a:stretch>
                  </pic:blipFill>
                  <pic:spPr>
                    <a:xfrm>
                      <a:off x="0" y="0"/>
                      <a:ext cx="4397666" cy="1993391"/>
                    </a:xfrm>
                    <a:prstGeom prst="rect">
                      <a:avLst/>
                    </a:prstGeom>
                  </pic:spPr>
                </pic:pic>
              </a:graphicData>
            </a:graphic>
          </wp:anchor>
        </w:drawing>
      </w:r>
    </w:p>
    <w:p>
      <w:pPr>
        <w:pStyle w:val="BodyText"/>
        <w:spacing w:before="8"/>
        <w:rPr>
          <w:sz w:val="27"/>
        </w:rPr>
      </w:pPr>
    </w:p>
    <w:p>
      <w:pPr>
        <w:spacing w:before="0"/>
        <w:ind w:left="792" w:right="617" w:firstLine="0"/>
        <w:jc w:val="center"/>
        <w:rPr>
          <w:b/>
          <w:sz w:val="16"/>
        </w:rPr>
      </w:pPr>
      <w:r>
        <w:rPr>
          <w:b/>
          <w:sz w:val="16"/>
        </w:rPr>
        <w:t>Figure 11.7 Diagram showing ionization in a MALDI source</w:t>
      </w:r>
    </w:p>
    <w:p>
      <w:pPr>
        <w:spacing w:after="0"/>
        <w:jc w:val="center"/>
        <w:rPr>
          <w:sz w:val="16"/>
        </w:rPr>
        <w:sectPr>
          <w:pgSz w:w="11910" w:h="16840"/>
          <w:pgMar w:header="722" w:footer="748" w:top="1300" w:bottom="940" w:left="1500" w:right="1480"/>
        </w:sectPr>
      </w:pPr>
    </w:p>
    <w:p>
      <w:pPr>
        <w:pStyle w:val="BodyText"/>
        <w:spacing w:line="360" w:lineRule="auto" w:before="119"/>
        <w:ind w:left="299" w:right="316"/>
        <w:jc w:val="both"/>
      </w:pPr>
      <w:r>
        <w:rPr/>
        <w:t>MALDI can very efficiently generate the gas phase ions from a variety of non-volatile and thermolabile molecules such as proteins, carbohydrates, nucleic acids, and synthetic polymers. MALDI can desorb and ionize the molecules as large as 300 kDa. MALDI usually results in the molecular species having only one charge. In positive ion mode, a quasimolecular ion is formed by protonation of the molecule (MH</w:t>
      </w:r>
      <w:r>
        <w:rPr>
          <w:vertAlign w:val="superscript"/>
        </w:rPr>
        <w:t>+</w:t>
      </w:r>
      <w:r>
        <w:rPr>
          <w:vertAlign w:val="baseline"/>
        </w:rPr>
        <w:t>). The samples or the matrices can have trace amounts of alkali metal ions, often resulting in the quasimolecular species, MNa</w:t>
      </w:r>
      <w:r>
        <w:rPr>
          <w:vertAlign w:val="superscript"/>
        </w:rPr>
        <w:t>+</w:t>
      </w:r>
      <w:r>
        <w:rPr>
          <w:vertAlign w:val="baseline"/>
        </w:rPr>
        <w:t> or sometimes MK</w:t>
      </w:r>
      <w:r>
        <w:rPr>
          <w:vertAlign w:val="superscript"/>
        </w:rPr>
        <w:t>+</w:t>
      </w:r>
      <w:r>
        <w:rPr>
          <w:vertAlign w:val="baseline"/>
        </w:rPr>
        <w:t> (Figure 11.8). Multiply charged species are also observed sometimes.</w:t>
      </w:r>
    </w:p>
    <w:p>
      <w:pPr>
        <w:pStyle w:val="BodyText"/>
        <w:spacing w:before="6"/>
        <w:rPr>
          <w:sz w:val="16"/>
        </w:rPr>
      </w:pPr>
      <w:r>
        <w:rPr/>
        <w:drawing>
          <wp:anchor distT="0" distB="0" distL="0" distR="0" allowOverlap="1" layoutInCell="1" locked="0" behindDoc="0" simplePos="0" relativeHeight="174">
            <wp:simplePos x="0" y="0"/>
            <wp:positionH relativeFrom="page">
              <wp:posOffset>2157379</wp:posOffset>
            </wp:positionH>
            <wp:positionV relativeFrom="paragraph">
              <wp:posOffset>145619</wp:posOffset>
            </wp:positionV>
            <wp:extent cx="3430322" cy="3767709"/>
            <wp:effectExtent l="0" t="0" r="0" b="0"/>
            <wp:wrapTopAndBottom/>
            <wp:docPr id="137" name="image73.png" descr="Figure 11.8.tif"/>
            <wp:cNvGraphicFramePr>
              <a:graphicFrameLocks noChangeAspect="1"/>
            </wp:cNvGraphicFramePr>
            <a:graphic>
              <a:graphicData uri="http://schemas.openxmlformats.org/drawingml/2006/picture">
                <pic:pic>
                  <pic:nvPicPr>
                    <pic:cNvPr id="138" name="image73.png"/>
                    <pic:cNvPicPr/>
                  </pic:nvPicPr>
                  <pic:blipFill>
                    <a:blip r:embed="rId81" cstate="print"/>
                    <a:stretch>
                      <a:fillRect/>
                    </a:stretch>
                  </pic:blipFill>
                  <pic:spPr>
                    <a:xfrm>
                      <a:off x="0" y="0"/>
                      <a:ext cx="3430322" cy="3767709"/>
                    </a:xfrm>
                    <a:prstGeom prst="rect">
                      <a:avLst/>
                    </a:prstGeom>
                  </pic:spPr>
                </pic:pic>
              </a:graphicData>
            </a:graphic>
          </wp:anchor>
        </w:drawing>
      </w:r>
    </w:p>
    <w:p>
      <w:pPr>
        <w:pStyle w:val="BodyText"/>
        <w:rPr>
          <w:sz w:val="27"/>
        </w:rPr>
      </w:pPr>
    </w:p>
    <w:p>
      <w:pPr>
        <w:spacing w:line="362" w:lineRule="auto" w:before="0"/>
        <w:ind w:left="496" w:right="0" w:firstLine="0"/>
        <w:jc w:val="left"/>
        <w:rPr>
          <w:b/>
          <w:sz w:val="16"/>
        </w:rPr>
      </w:pPr>
      <w:r>
        <w:rPr>
          <w:b/>
          <w:sz w:val="16"/>
        </w:rPr>
        <w:t>Figure 11.8 MALDI-TOF mass spectrum of a peptide with theoretical mass of 790.448 Da. The peaks at 812.4442 and 828.4162 represent [peptide–Na</w:t>
      </w:r>
      <w:r>
        <w:rPr>
          <w:b/>
          <w:sz w:val="16"/>
          <w:vertAlign w:val="superscript"/>
        </w:rPr>
        <w:t>+</w:t>
      </w:r>
      <w:r>
        <w:rPr>
          <w:b/>
          <w:sz w:val="16"/>
          <w:vertAlign w:val="baseline"/>
        </w:rPr>
        <w:t>] and [peptide–K</w:t>
      </w:r>
      <w:r>
        <w:rPr>
          <w:b/>
          <w:sz w:val="16"/>
          <w:vertAlign w:val="superscript"/>
        </w:rPr>
        <w:t>+</w:t>
      </w:r>
      <w:r>
        <w:rPr>
          <w:b/>
          <w:sz w:val="16"/>
          <w:vertAlign w:val="baseline"/>
        </w:rPr>
        <w:t>], respectively.</w:t>
      </w:r>
    </w:p>
    <w:p>
      <w:pPr>
        <w:pStyle w:val="BodyText"/>
        <w:rPr>
          <w:b/>
          <w:sz w:val="18"/>
        </w:rPr>
      </w:pPr>
    </w:p>
    <w:p>
      <w:pPr>
        <w:pStyle w:val="BodyText"/>
        <w:spacing w:before="10"/>
        <w:rPr>
          <w:b/>
          <w:sz w:val="19"/>
        </w:rPr>
      </w:pPr>
    </w:p>
    <w:p>
      <w:pPr>
        <w:pStyle w:val="BodyText"/>
        <w:spacing w:line="360" w:lineRule="auto"/>
        <w:ind w:left="299" w:right="316"/>
        <w:jc w:val="both"/>
      </w:pPr>
      <w:r>
        <w:rPr/>
        <w:t>Time-of-flight (TOF) mass analyzers are well suited for the pulsed ionization techniques such as MALDI (In MALDI, laser pulses produce the ions in pulses). We shall be discussing the different mass analyzers in the next lecture.</w:t>
      </w:r>
    </w:p>
    <w:p>
      <w:pPr>
        <w:spacing w:after="0" w:line="360" w:lineRule="auto"/>
        <w:jc w:val="both"/>
        <w:sectPr>
          <w:pgSz w:w="11910" w:h="16840"/>
          <w:pgMar w:header="722" w:footer="748" w:top="1300" w:bottom="940" w:left="1500" w:right="1480"/>
        </w:sectPr>
      </w:pPr>
    </w:p>
    <w:p>
      <w:pPr>
        <w:spacing w:before="119"/>
        <w:ind w:left="300" w:right="0" w:firstLine="0"/>
        <w:jc w:val="both"/>
        <w:rPr>
          <w:i/>
          <w:sz w:val="24"/>
        </w:rPr>
      </w:pPr>
      <w:r>
        <w:rPr>
          <w:i/>
          <w:sz w:val="24"/>
        </w:rPr>
        <w:t>Electrospray ionization (ESI)</w:t>
      </w:r>
    </w:p>
    <w:p>
      <w:pPr>
        <w:pStyle w:val="BodyText"/>
        <w:spacing w:before="5"/>
        <w:rPr>
          <w:i/>
          <w:sz w:val="29"/>
        </w:rPr>
      </w:pPr>
    </w:p>
    <w:p>
      <w:pPr>
        <w:pStyle w:val="BodyText"/>
        <w:spacing w:line="360" w:lineRule="auto"/>
        <w:ind w:left="300" w:right="315"/>
        <w:jc w:val="both"/>
      </w:pPr>
      <w:r>
        <w:rPr/>
        <w:t>In electrospray ionization, the analyte solution enters the ionization chamber, maintained at atmospheric pressure, through a fine capillary. The typical flow rates are ~1-20 μl/min. A potential difference of ~3-6 kV is applied between the capillary and the counter-electrode that is ~0.3 – 2 cm away. Under this electric field, the sample droplets appearing at the capillary end accumulate large amount of charge. If the potential of the capillary is above a threshold voltage, the drop will be dispersed into a very fine spray. A coaxial sheath is present around the capillary through which dry nitrogen is supplied for better nebulization and restricting the dispersion of the spray in space. Evaporation of the solvent causes the droplets to diminish in size and their charge density to increase (Figure 11.9). The high charge density on these droplets can further result in the production of smaller droplets. The droplets keep losing the solvent ultimately resulting in the desorption of molecular ions from the surface. As the ions are generated from the surface, a surface active molecule will be detected better. For large molecules such as proteins, the molecules do not desorb from the droplets but become ionized through complete evaporation of the</w:t>
      </w:r>
      <w:r>
        <w:rPr>
          <w:spacing w:val="-13"/>
        </w:rPr>
        <w:t> </w:t>
      </w:r>
      <w:r>
        <w:rPr/>
        <w:t>solvent.</w:t>
      </w:r>
    </w:p>
    <w:p>
      <w:pPr>
        <w:pStyle w:val="BodyText"/>
        <w:spacing w:before="2"/>
        <w:rPr>
          <w:sz w:val="17"/>
        </w:rPr>
      </w:pPr>
      <w:r>
        <w:rPr/>
        <w:drawing>
          <wp:anchor distT="0" distB="0" distL="0" distR="0" allowOverlap="1" layoutInCell="1" locked="0" behindDoc="0" simplePos="0" relativeHeight="175">
            <wp:simplePos x="0" y="0"/>
            <wp:positionH relativeFrom="page">
              <wp:posOffset>1339697</wp:posOffset>
            </wp:positionH>
            <wp:positionV relativeFrom="paragraph">
              <wp:posOffset>150718</wp:posOffset>
            </wp:positionV>
            <wp:extent cx="5032073" cy="2493264"/>
            <wp:effectExtent l="0" t="0" r="0" b="0"/>
            <wp:wrapTopAndBottom/>
            <wp:docPr id="139" name="image74.png" descr="Figure 11.9.tif"/>
            <wp:cNvGraphicFramePr>
              <a:graphicFrameLocks noChangeAspect="1"/>
            </wp:cNvGraphicFramePr>
            <a:graphic>
              <a:graphicData uri="http://schemas.openxmlformats.org/drawingml/2006/picture">
                <pic:pic>
                  <pic:nvPicPr>
                    <pic:cNvPr id="140" name="image74.png"/>
                    <pic:cNvPicPr/>
                  </pic:nvPicPr>
                  <pic:blipFill>
                    <a:blip r:embed="rId82" cstate="print"/>
                    <a:stretch>
                      <a:fillRect/>
                    </a:stretch>
                  </pic:blipFill>
                  <pic:spPr>
                    <a:xfrm>
                      <a:off x="0" y="0"/>
                      <a:ext cx="5032073" cy="2493264"/>
                    </a:xfrm>
                    <a:prstGeom prst="rect">
                      <a:avLst/>
                    </a:prstGeom>
                  </pic:spPr>
                </pic:pic>
              </a:graphicData>
            </a:graphic>
          </wp:anchor>
        </w:drawing>
      </w:r>
    </w:p>
    <w:p>
      <w:pPr>
        <w:pStyle w:val="BodyText"/>
        <w:spacing w:before="11"/>
        <w:rPr>
          <w:sz w:val="27"/>
        </w:rPr>
      </w:pPr>
    </w:p>
    <w:p>
      <w:pPr>
        <w:spacing w:before="0"/>
        <w:ind w:left="795" w:right="617" w:firstLine="0"/>
        <w:jc w:val="center"/>
        <w:rPr>
          <w:b/>
          <w:sz w:val="16"/>
        </w:rPr>
      </w:pPr>
      <w:r>
        <w:rPr>
          <w:b/>
          <w:sz w:val="16"/>
        </w:rPr>
        <w:t>Figure 11.9 Diagrammatic representation of ionization in an ESI ion source</w:t>
      </w:r>
    </w:p>
    <w:p>
      <w:pPr>
        <w:pStyle w:val="BodyText"/>
        <w:rPr>
          <w:b/>
          <w:sz w:val="18"/>
        </w:rPr>
      </w:pPr>
    </w:p>
    <w:p>
      <w:pPr>
        <w:pStyle w:val="BodyText"/>
        <w:rPr>
          <w:b/>
          <w:sz w:val="18"/>
        </w:rPr>
      </w:pPr>
    </w:p>
    <w:p>
      <w:pPr>
        <w:pStyle w:val="BodyText"/>
        <w:spacing w:line="360" w:lineRule="auto" w:before="115"/>
        <w:ind w:left="299" w:right="315"/>
        <w:jc w:val="both"/>
      </w:pPr>
      <w:r>
        <w:rPr/>
        <w:t>ESI typically results in multiply-charged molecular species. Biological macromolecules usually result in the mass spectra wherein the consecutive peaks differ by one charge unit. This information allows one to calculate the mass of the biomolecule.</w:t>
      </w:r>
    </w:p>
    <w:p>
      <w:pPr>
        <w:spacing w:after="0" w:line="360" w:lineRule="auto"/>
        <w:jc w:val="both"/>
        <w:sectPr>
          <w:pgSz w:w="11910" w:h="16840"/>
          <w:pgMar w:header="722" w:footer="748" w:top="1300" w:bottom="940" w:left="1500" w:right="1480"/>
        </w:sectPr>
      </w:pPr>
    </w:p>
    <w:p>
      <w:pPr>
        <w:pStyle w:val="Heading2"/>
      </w:pPr>
      <w:r>
        <w:rPr/>
        <w:t>Lecture 12 Mass Spectrometry-II</w:t>
      </w:r>
    </w:p>
    <w:p>
      <w:pPr>
        <w:pStyle w:val="BodyText"/>
        <w:spacing w:before="10"/>
        <w:rPr>
          <w:b/>
          <w:sz w:val="32"/>
        </w:rPr>
      </w:pPr>
    </w:p>
    <w:p>
      <w:pPr>
        <w:pStyle w:val="BodyText"/>
        <w:spacing w:line="360" w:lineRule="auto" w:before="1"/>
        <w:ind w:left="299" w:right="317"/>
        <w:jc w:val="both"/>
      </w:pPr>
      <w:r>
        <w:rPr/>
        <w:t>Following ionization, the gas phase ions are accelerated towards the mass analyzers. A great variety of mass analyzers are utilized in the mass spectrometers. All of these analyzers separate the molecules using static or dynamic electric fields and magnetic fields, alone or in combination. After mass analysis, the ions are detected and the mass spectra are</w:t>
      </w:r>
      <w:r>
        <w:rPr>
          <w:spacing w:val="1"/>
        </w:rPr>
        <w:t> </w:t>
      </w:r>
      <w:r>
        <w:rPr/>
        <w:t>generated.</w:t>
      </w:r>
    </w:p>
    <w:p>
      <w:pPr>
        <w:pStyle w:val="BodyText"/>
        <w:spacing w:line="360" w:lineRule="auto" w:before="200"/>
        <w:ind w:left="299" w:right="316"/>
        <w:jc w:val="both"/>
      </w:pPr>
      <w:r>
        <w:rPr/>
        <w:t>Imagine what would happen if the ions collide with the air molecules in the MS tube. This can lead to the loss of charge to the molecules in the air, deviation in the ion trajectory which might lead to the collision with the MS tube, reactions with the air molecules, etc. A mass spectrometer, therefore operates under very high vacuum to ensure that the ions reach the detector without colliding with the air molecules. The mean free path of a particle is the average distance a particle travels before colliding with other particles and is inversely proportional to the pressure of the gas and the  size of the colliding molecules. The mean free path, according to the kinetic theory of gases is given</w:t>
      </w:r>
      <w:r>
        <w:rPr>
          <w:spacing w:val="-1"/>
        </w:rPr>
        <w:t> </w:t>
      </w:r>
      <w:r>
        <w:rPr/>
        <w:t>by:</w:t>
      </w:r>
    </w:p>
    <w:p>
      <w:pPr>
        <w:spacing w:after="0" w:line="360" w:lineRule="auto"/>
        <w:jc w:val="both"/>
        <w:sectPr>
          <w:pgSz w:w="11910" w:h="16840"/>
          <w:pgMar w:header="722" w:footer="748" w:top="1300" w:bottom="940" w:left="1500" w:right="1480"/>
        </w:sectPr>
      </w:pPr>
    </w:p>
    <w:p>
      <w:pPr>
        <w:tabs>
          <w:tab w:pos="1744" w:val="left" w:leader="none"/>
        </w:tabs>
        <w:spacing w:line="168" w:lineRule="auto" w:before="234"/>
        <w:ind w:left="1020" w:right="0" w:firstLine="0"/>
        <w:jc w:val="left"/>
        <w:rPr>
          <w:rFonts w:ascii="Symbola" w:eastAsia="Symbola"/>
          <w:sz w:val="17"/>
        </w:rPr>
      </w:pPr>
      <w:r>
        <w:rPr/>
        <w:pict>
          <v:shape style="position:absolute;margin-left:150.720001pt;margin-top:20.906574pt;width:33.85pt;height:3.15pt;mso-position-horizontal-relative:page;mso-position-vertical-relative:paragraph;z-index:-18447872" coordorigin="3014,418" coordsize="677,63" path="m3226,469l3127,469,3127,481,3226,481,3226,469xm3691,418l3014,418,3014,435,3691,435,3691,418xe" filled="true" fillcolor="#000000" stroked="false">
            <v:path arrowok="t"/>
            <v:fill type="solid"/>
            <w10:wrap type="none"/>
          </v:shape>
        </w:pict>
      </w:r>
      <w:r>
        <w:rPr/>
        <w:pict>
          <v:shape style="position:absolute;margin-left:174.479996pt;margin-top:21.613235pt;width:4.150pt;height:8.2pt;mso-position-horizontal-relative:page;mso-position-vertical-relative:paragraph;z-index:-18447360" type="#_x0000_t202" filled="false" stroked="false">
            <v:textbox inset="0,0,0,0">
              <w:txbxContent>
                <w:p>
                  <w:pPr>
                    <w:spacing w:before="22"/>
                    <w:ind w:left="0" w:right="0" w:firstLine="0"/>
                    <w:jc w:val="left"/>
                    <w:rPr>
                      <w:rFonts w:ascii="Symbola"/>
                      <w:sz w:val="14"/>
                    </w:rPr>
                  </w:pPr>
                  <w:r>
                    <w:rPr>
                      <w:rFonts w:ascii="Symbola"/>
                      <w:w w:val="118"/>
                      <w:sz w:val="14"/>
                    </w:rPr>
                    <w:t>2</w:t>
                  </w:r>
                </w:p>
              </w:txbxContent>
            </v:textbox>
            <w10:wrap type="none"/>
          </v:shape>
        </w:pict>
      </w:r>
      <w:r>
        <w:rPr>
          <w:rFonts w:ascii="Symbola" w:eastAsia="Symbola"/>
          <w:position w:val="-13"/>
          <w:sz w:val="24"/>
        </w:rPr>
        <w:t>𝜆</w:t>
      </w:r>
      <w:r>
        <w:rPr>
          <w:rFonts w:ascii="Symbola" w:eastAsia="Symbola"/>
          <w:spacing w:val="4"/>
          <w:position w:val="-13"/>
          <w:sz w:val="24"/>
        </w:rPr>
        <w:t> </w:t>
      </w:r>
      <w:r>
        <w:rPr>
          <w:rFonts w:ascii="Symbola" w:eastAsia="Symbola"/>
          <w:position w:val="-13"/>
          <w:sz w:val="24"/>
        </w:rPr>
        <w:t>=</w:t>
        <w:tab/>
      </w:r>
      <w:r>
        <w:rPr>
          <w:rFonts w:ascii="Symbola" w:eastAsia="Symbola"/>
          <w:sz w:val="17"/>
        </w:rPr>
        <w:t>𝑘𝑇</w:t>
      </w:r>
    </w:p>
    <w:p>
      <w:pPr>
        <w:spacing w:line="172" w:lineRule="exact" w:before="0"/>
        <w:ind w:left="0" w:right="0" w:firstLine="0"/>
        <w:jc w:val="right"/>
        <w:rPr>
          <w:rFonts w:ascii="Symbola" w:hAnsi="Symbola" w:eastAsia="Symbola"/>
          <w:sz w:val="17"/>
        </w:rPr>
      </w:pPr>
      <w:r>
        <w:rPr>
          <w:rFonts w:ascii="Symbola" w:hAnsi="Symbola" w:eastAsia="Symbola"/>
          <w:w w:val="110"/>
          <w:sz w:val="17"/>
        </w:rPr>
        <w:t>√</w:t>
      </w:r>
      <w:r>
        <w:rPr>
          <w:rFonts w:ascii="Symbola" w:hAnsi="Symbola" w:eastAsia="Symbola"/>
          <w:w w:val="110"/>
          <w:position w:val="1"/>
          <w:sz w:val="17"/>
        </w:rPr>
        <w:t>2 𝜋𝑑 𝑝</w:t>
      </w:r>
    </w:p>
    <w:p>
      <w:pPr>
        <w:pStyle w:val="BodyText"/>
        <w:rPr>
          <w:rFonts w:ascii="Symbola"/>
          <w:sz w:val="27"/>
        </w:rPr>
      </w:pPr>
      <w:r>
        <w:rPr/>
        <w:br w:type="column"/>
      </w:r>
      <w:r>
        <w:rPr>
          <w:rFonts w:ascii="Symbola"/>
          <w:sz w:val="27"/>
        </w:rPr>
      </w:r>
    </w:p>
    <w:p>
      <w:pPr>
        <w:pStyle w:val="BodyText"/>
        <w:tabs>
          <w:tab w:pos="4424" w:val="left" w:leader="none"/>
        </w:tabs>
        <w:ind w:left="114"/>
        <w:jc w:val="center"/>
      </w:pPr>
      <w:r>
        <w:rPr>
          <w:spacing w:val="9"/>
        </w:rPr>
        <w:t>···················································</w:t>
        <w:tab/>
      </w:r>
      <w:r>
        <w:rPr/>
        <w:t>(12.1)</w:t>
      </w:r>
    </w:p>
    <w:p>
      <w:pPr>
        <w:spacing w:after="0"/>
        <w:jc w:val="center"/>
        <w:sectPr>
          <w:type w:val="continuous"/>
          <w:pgSz w:w="11910" w:h="16840"/>
          <w:pgMar w:top="1300" w:bottom="940" w:left="1500" w:right="1480"/>
          <w:cols w:num="2" w:equalWidth="0">
            <w:col w:w="2189" w:space="40"/>
            <w:col w:w="6701"/>
          </w:cols>
        </w:sectPr>
      </w:pPr>
    </w:p>
    <w:p>
      <w:pPr>
        <w:pStyle w:val="BodyText"/>
        <w:spacing w:before="8"/>
        <w:rPr>
          <w:sz w:val="16"/>
        </w:rPr>
      </w:pPr>
    </w:p>
    <w:p>
      <w:pPr>
        <w:pStyle w:val="BodyText"/>
        <w:spacing w:line="360" w:lineRule="auto" w:before="130"/>
        <w:ind w:left="300" w:right="314"/>
        <w:jc w:val="both"/>
      </w:pPr>
      <w:r>
        <w:rPr/>
        <w:t>where, </w:t>
      </w:r>
      <w:r>
        <w:rPr>
          <w:i/>
        </w:rPr>
        <w:t>λ </w:t>
      </w:r>
      <w:r>
        <w:rPr/>
        <w:t>is the mean free path, </w:t>
      </w:r>
      <w:r>
        <w:rPr>
          <w:i/>
        </w:rPr>
        <w:t>k </w:t>
      </w:r>
      <w:r>
        <w:rPr/>
        <w:t>is the Boltzmann constant (1.38 × 10</w:t>
      </w:r>
      <w:r>
        <w:rPr>
          <w:vertAlign w:val="superscript"/>
        </w:rPr>
        <w:t>-23</w:t>
      </w:r>
      <w:r>
        <w:rPr>
          <w:vertAlign w:val="baseline"/>
        </w:rPr>
        <w:t> JK</w:t>
      </w:r>
      <w:r>
        <w:rPr>
          <w:vertAlign w:val="superscript"/>
        </w:rPr>
        <w:t>-1</w:t>
      </w:r>
      <w:r>
        <w:rPr>
          <w:vertAlign w:val="baseline"/>
        </w:rPr>
        <w:t>), </w:t>
      </w:r>
      <w:r>
        <w:rPr>
          <w:i/>
          <w:vertAlign w:val="baseline"/>
        </w:rPr>
        <w:t>T </w:t>
      </w:r>
      <w:r>
        <w:rPr>
          <w:vertAlign w:val="baseline"/>
        </w:rPr>
        <w:t>is the temperature, </w:t>
      </w:r>
      <w:r>
        <w:rPr>
          <w:i/>
          <w:vertAlign w:val="baseline"/>
        </w:rPr>
        <w:t>d </w:t>
      </w:r>
      <w:r>
        <w:rPr>
          <w:vertAlign w:val="baseline"/>
        </w:rPr>
        <w:t>is the sum of the radii of the ion and the colliding molecule, and </w:t>
      </w:r>
      <w:r>
        <w:rPr>
          <w:i/>
          <w:vertAlign w:val="baseline"/>
        </w:rPr>
        <w:t>p </w:t>
      </w:r>
      <w:r>
        <w:rPr>
          <w:vertAlign w:val="baseline"/>
        </w:rPr>
        <w:t>is the</w:t>
      </w:r>
      <w:r>
        <w:rPr>
          <w:spacing w:val="-2"/>
          <w:vertAlign w:val="baseline"/>
        </w:rPr>
        <w:t> </w:t>
      </w:r>
      <w:r>
        <w:rPr>
          <w:vertAlign w:val="baseline"/>
        </w:rPr>
        <w:t>pressure.</w:t>
      </w:r>
    </w:p>
    <w:p>
      <w:pPr>
        <w:pStyle w:val="BodyText"/>
        <w:spacing w:line="362" w:lineRule="auto" w:before="201"/>
        <w:ind w:left="300" w:right="317"/>
        <w:jc w:val="both"/>
      </w:pPr>
      <w:r>
        <w:rPr/>
        <w:pict>
          <v:shape style="position:absolute;margin-left:184.919998pt;margin-top:123.917442pt;width:4.95pt;height:10pt;mso-position-horizontal-relative:page;mso-position-vertical-relative:paragraph;z-index:-18446848" type="#_x0000_t202" filled="false" stroked="false">
            <v:textbox inset="0,0,0,0">
              <w:txbxContent>
                <w:p>
                  <w:pPr>
                    <w:spacing w:before="28"/>
                    <w:ind w:left="0" w:right="0" w:firstLine="0"/>
                    <w:jc w:val="left"/>
                    <w:rPr>
                      <w:rFonts w:ascii="Symbola"/>
                      <w:sz w:val="17"/>
                    </w:rPr>
                  </w:pPr>
                  <w:r>
                    <w:rPr>
                      <w:rFonts w:ascii="Symbola"/>
                      <w:w w:val="115"/>
                      <w:sz w:val="17"/>
                    </w:rPr>
                    <w:t>4</w:t>
                  </w:r>
                </w:p>
              </w:txbxContent>
            </v:textbox>
            <w10:wrap type="none"/>
          </v:shape>
        </w:pict>
      </w:r>
      <w:r>
        <w:rPr/>
        <w:t>Let us try calculating the mean free path for a small ion in the air. We need to make a few assumptions: Air is largely nitrogen (~78%) and oxygen (~21%). The Van der Walls radii for nitrogen and oxygen are 155 pm and 152 pm, respectively. As the Van der Walls radii of oxygen and nitrogen are very close, we can assume air to be composed of a particle with ~150 pm. Let us calculate the mean free path for a small mol</w:t>
      </w:r>
      <w:r>
        <w:rPr>
          <w:spacing w:val="-1"/>
        </w:rPr>
        <w:t>ec</w:t>
      </w:r>
      <w:r>
        <w:rPr/>
        <w:t>ul</w:t>
      </w:r>
      <w:r>
        <w:rPr>
          <w:spacing w:val="-1"/>
        </w:rPr>
        <w:t>a</w:t>
      </w:r>
      <w:r>
        <w:rPr/>
        <w:t>r  ion,  </w:t>
      </w:r>
      <w:r>
        <w:rPr>
          <w:rFonts w:ascii="Symbola" w:hAnsi="Symbola" w:eastAsia="Symbola"/>
          <w:w w:val="117"/>
        </w:rPr>
        <w:t>𝐶</w:t>
      </w:r>
      <w:r>
        <w:rPr>
          <w:rFonts w:ascii="Symbola" w:hAnsi="Symbola" w:eastAsia="Symbola"/>
          <w:spacing w:val="5"/>
          <w:w w:val="117"/>
        </w:rPr>
        <w:t>𝐻</w:t>
      </w:r>
      <w:r>
        <w:rPr>
          <w:rFonts w:ascii="Symbola" w:hAnsi="Symbola" w:eastAsia="Symbola"/>
          <w:spacing w:val="-81"/>
          <w:w w:val="93"/>
          <w:position w:val="17"/>
          <w:sz w:val="17"/>
        </w:rPr>
        <w:t>+</w:t>
      </w:r>
      <w:r>
        <w:rPr>
          <w:rFonts w:ascii="Symbola" w:hAnsi="Symbola" w:eastAsia="Symbola"/>
          <w:w w:val="82"/>
          <w:position w:val="9"/>
          <w:sz w:val="17"/>
        </w:rPr>
        <w:t>.</w:t>
      </w:r>
      <w:r>
        <w:rPr>
          <w:rFonts w:ascii="Symbola" w:hAnsi="Symbola" w:eastAsia="Symbola"/>
          <w:position w:val="9"/>
          <w:sz w:val="17"/>
        </w:rPr>
        <w:t>    </w:t>
      </w:r>
      <w:r>
        <w:rPr>
          <w:spacing w:val="-1"/>
        </w:rPr>
        <w:t>(</w:t>
      </w:r>
      <w:r>
        <w:rPr/>
        <w:t>mol</w:t>
      </w:r>
      <w:r>
        <w:rPr>
          <w:spacing w:val="-1"/>
        </w:rPr>
        <w:t>ec</w:t>
      </w:r>
      <w:r>
        <w:rPr/>
        <w:t>ul</w:t>
      </w:r>
      <w:r>
        <w:rPr>
          <w:spacing w:val="-1"/>
        </w:rPr>
        <w:t>a</w:t>
      </w:r>
      <w:r>
        <w:rPr/>
        <w:t>r  </w:t>
      </w:r>
      <w:r>
        <w:rPr>
          <w:spacing w:val="-1"/>
        </w:rPr>
        <w:t>ra</w:t>
      </w:r>
      <w:r>
        <w:rPr/>
        <w:t>di</w:t>
      </w:r>
      <w:r>
        <w:rPr>
          <w:w w:val="99"/>
        </w:rPr>
        <w:t>us</w:t>
      </w:r>
      <w:r>
        <w:rPr/>
        <w:t>  </w:t>
      </w:r>
      <w:r>
        <w:rPr>
          <w:spacing w:val="-1"/>
        </w:rPr>
        <w:t>~</w:t>
      </w:r>
      <w:r>
        <w:rPr/>
        <w:t>380  pm</w:t>
      </w:r>
      <w:r>
        <w:rPr>
          <w:spacing w:val="-1"/>
        </w:rPr>
        <w:t>)</w:t>
      </w:r>
      <w:r>
        <w:rPr/>
        <w:t>.  </w:t>
      </w:r>
      <w:r>
        <w:rPr>
          <w:spacing w:val="-1"/>
        </w:rPr>
        <w:t>T</w:t>
      </w:r>
      <w:r>
        <w:rPr/>
        <w:t>he  m</w:t>
      </w:r>
      <w:r>
        <w:rPr>
          <w:spacing w:val="-1"/>
        </w:rPr>
        <w:t>ea</w:t>
      </w:r>
      <w:r>
        <w:rPr/>
        <w:t>n  </w:t>
      </w:r>
      <w:r>
        <w:rPr>
          <w:spacing w:val="-1"/>
        </w:rPr>
        <w:t>fr</w:t>
      </w:r>
      <w:r>
        <w:rPr>
          <w:spacing w:val="1"/>
        </w:rPr>
        <w:t>e</w:t>
      </w:r>
      <w:r>
        <w:rPr/>
        <w:t>e  p</w:t>
      </w:r>
      <w:r>
        <w:rPr>
          <w:spacing w:val="-1"/>
        </w:rPr>
        <w:t>a</w:t>
      </w:r>
      <w:r>
        <w:rPr/>
        <w:t>th  </w:t>
      </w:r>
      <w:r>
        <w:rPr>
          <w:spacing w:val="-1"/>
        </w:rPr>
        <w:t>a</w:t>
      </w:r>
      <w:r>
        <w:rPr/>
        <w:t>t  </w:t>
      </w:r>
      <w:r>
        <w:rPr>
          <w:spacing w:val="-1"/>
        </w:rPr>
        <w:t>r</w:t>
      </w:r>
      <w:r>
        <w:rPr/>
        <w:t>oom temperature (</w:t>
      </w:r>
      <w:r>
        <w:rPr>
          <w:i/>
        </w:rPr>
        <w:t>T </w:t>
      </w:r>
      <w:r>
        <w:rPr/>
        <w:t>≈ 298 K) and atmospheric pressure (1.01 × 10</w:t>
      </w:r>
      <w:r>
        <w:rPr>
          <w:vertAlign w:val="superscript"/>
        </w:rPr>
        <w:t>5</w:t>
      </w:r>
      <w:r>
        <w:rPr>
          <w:vertAlign w:val="baseline"/>
        </w:rPr>
        <w:t> Pa) can be given by:</w:t>
      </w:r>
    </w:p>
    <w:p>
      <w:pPr>
        <w:spacing w:after="0" w:line="362" w:lineRule="auto"/>
        <w:jc w:val="both"/>
        <w:sectPr>
          <w:type w:val="continuous"/>
          <w:pgSz w:w="11910" w:h="16840"/>
          <w:pgMar w:top="1300" w:bottom="940" w:left="1500" w:right="1480"/>
        </w:sectPr>
      </w:pPr>
    </w:p>
    <w:p>
      <w:pPr>
        <w:pStyle w:val="BodyText"/>
        <w:spacing w:before="9"/>
        <w:rPr>
          <w:sz w:val="18"/>
        </w:rPr>
      </w:pPr>
    </w:p>
    <w:p>
      <w:pPr>
        <w:spacing w:before="0"/>
        <w:ind w:left="1515" w:right="0" w:firstLine="0"/>
        <w:jc w:val="center"/>
        <w:rPr>
          <w:rFonts w:ascii="Symbola" w:hAnsi="Symbola" w:cs="Symbola" w:eastAsia="Symbola"/>
          <w:sz w:val="17"/>
          <w:szCs w:val="17"/>
        </w:rPr>
      </w:pPr>
      <w:r>
        <w:rPr/>
        <w:pict>
          <v:shape style="position:absolute;margin-left:126pt;margin-top:4.407634pt;width:18.7pt;height:14.1pt;mso-position-horizontal-relative:page;mso-position-vertical-relative:paragraph;z-index:15821312" type="#_x0000_t202" filled="false" stroked="false">
            <v:textbox inset="0,0,0,0">
              <w:txbxContent>
                <w:p>
                  <w:pPr>
                    <w:pStyle w:val="BodyText"/>
                    <w:spacing w:before="40"/>
                    <w:rPr>
                      <w:rFonts w:ascii="Symbola" w:eastAsia="Symbola"/>
                    </w:rPr>
                  </w:pPr>
                  <w:r>
                    <w:rPr>
                      <w:rFonts w:ascii="Symbola" w:eastAsia="Symbola"/>
                    </w:rPr>
                    <w:t>𝜆 </w:t>
                  </w:r>
                  <w:r>
                    <w:rPr>
                      <w:rFonts w:ascii="Symbola" w:eastAsia="Symbola"/>
                      <w:spacing w:val="-20"/>
                    </w:rPr>
                    <w:t>=</w:t>
                  </w:r>
                </w:p>
              </w:txbxContent>
            </v:textbox>
            <w10:wrap type="none"/>
          </v:shape>
        </w:pict>
      </w:r>
      <w:r>
        <w:rPr>
          <w:rFonts w:ascii="Symbola" w:hAnsi="Symbola" w:cs="Symbola" w:eastAsia="Symbola"/>
          <w:w w:val="45"/>
          <w:sz w:val="17"/>
          <w:szCs w:val="17"/>
        </w:rPr>
        <w:t>�</w:t>
      </w:r>
      <w:r>
        <w:rPr>
          <w:rFonts w:ascii="Symbola" w:hAnsi="Symbola" w:cs="Symbola" w:eastAsia="Symbola"/>
          <w:spacing w:val="-1"/>
          <w:w w:val="115"/>
          <w:sz w:val="17"/>
          <w:szCs w:val="17"/>
        </w:rPr>
        <w:t>1</w:t>
      </w:r>
      <w:r>
        <w:rPr>
          <w:rFonts w:ascii="Symbola" w:hAnsi="Symbola" w:cs="Symbola" w:eastAsia="Symbola"/>
          <w:spacing w:val="1"/>
          <w:w w:val="82"/>
          <w:sz w:val="17"/>
          <w:szCs w:val="17"/>
        </w:rPr>
        <w:t>.</w:t>
      </w:r>
      <w:r>
        <w:rPr>
          <w:rFonts w:ascii="Symbola" w:hAnsi="Symbola" w:cs="Symbola" w:eastAsia="Symbola"/>
          <w:spacing w:val="-1"/>
          <w:w w:val="115"/>
          <w:sz w:val="17"/>
          <w:szCs w:val="17"/>
        </w:rPr>
        <w:t>3</w:t>
      </w:r>
      <w:r>
        <w:rPr>
          <w:rFonts w:ascii="Symbola" w:hAnsi="Symbola" w:cs="Symbola" w:eastAsia="Symbola"/>
          <w:w w:val="115"/>
          <w:sz w:val="17"/>
          <w:szCs w:val="17"/>
        </w:rPr>
        <w:t>8</w:t>
      </w:r>
      <w:r>
        <w:rPr>
          <w:rFonts w:ascii="Symbola" w:hAnsi="Symbola" w:cs="Symbola" w:eastAsia="Symbola"/>
          <w:spacing w:val="-5"/>
          <w:sz w:val="17"/>
          <w:szCs w:val="17"/>
        </w:rPr>
        <w:t> </w:t>
      </w:r>
      <w:r>
        <w:rPr>
          <w:rFonts w:ascii="Symbola" w:hAnsi="Symbola" w:cs="Symbola" w:eastAsia="Symbola"/>
          <w:w w:val="92"/>
          <w:sz w:val="17"/>
          <w:szCs w:val="17"/>
        </w:rPr>
        <w:t>×</w:t>
      </w:r>
      <w:r>
        <w:rPr>
          <w:rFonts w:ascii="Symbola" w:hAnsi="Symbola" w:cs="Symbola" w:eastAsia="Symbola"/>
          <w:spacing w:val="-6"/>
          <w:sz w:val="17"/>
          <w:szCs w:val="17"/>
        </w:rPr>
        <w:t> </w:t>
      </w:r>
      <w:r>
        <w:rPr>
          <w:rFonts w:ascii="Symbola" w:hAnsi="Symbola" w:cs="Symbola" w:eastAsia="Symbola"/>
          <w:spacing w:val="-1"/>
          <w:w w:val="115"/>
          <w:sz w:val="17"/>
          <w:szCs w:val="17"/>
        </w:rPr>
        <w:t>1</w:t>
      </w:r>
      <w:r>
        <w:rPr>
          <w:rFonts w:ascii="Symbola" w:hAnsi="Symbola" w:cs="Symbola" w:eastAsia="Symbola"/>
          <w:w w:val="115"/>
          <w:sz w:val="17"/>
          <w:szCs w:val="17"/>
        </w:rPr>
        <w:t>0</w:t>
      </w:r>
      <w:r>
        <w:rPr>
          <w:rFonts w:ascii="Symbola" w:hAnsi="Symbola" w:cs="Symbola" w:eastAsia="Symbola"/>
          <w:spacing w:val="-1"/>
          <w:w w:val="95"/>
          <w:position w:val="6"/>
          <w:sz w:val="14"/>
          <w:szCs w:val="14"/>
        </w:rPr>
        <w:t>−</w:t>
      </w:r>
      <w:r>
        <w:rPr>
          <w:rFonts w:ascii="Symbola" w:hAnsi="Symbola" w:cs="Symbola" w:eastAsia="Symbola"/>
          <w:spacing w:val="1"/>
          <w:w w:val="118"/>
          <w:position w:val="6"/>
          <w:sz w:val="14"/>
          <w:szCs w:val="14"/>
        </w:rPr>
        <w:t>2</w:t>
      </w:r>
      <w:r>
        <w:rPr>
          <w:rFonts w:ascii="Symbola" w:hAnsi="Symbola" w:cs="Symbola" w:eastAsia="Symbola"/>
          <w:spacing w:val="8"/>
          <w:w w:val="118"/>
          <w:position w:val="6"/>
          <w:sz w:val="14"/>
          <w:szCs w:val="14"/>
        </w:rPr>
        <w:t>3</w:t>
      </w:r>
      <w:r>
        <w:rPr>
          <w:rFonts w:ascii="Symbola" w:hAnsi="Symbola" w:cs="Symbola" w:eastAsia="Symbola"/>
          <w:w w:val="45"/>
          <w:sz w:val="17"/>
          <w:szCs w:val="17"/>
        </w:rPr>
        <w:t>�</w:t>
      </w:r>
      <w:r>
        <w:rPr>
          <w:rFonts w:ascii="Symbola" w:hAnsi="Symbola" w:cs="Symbola" w:eastAsia="Symbola"/>
          <w:spacing w:val="-7"/>
          <w:sz w:val="17"/>
          <w:szCs w:val="17"/>
        </w:rPr>
        <w:t> </w:t>
      </w:r>
      <w:r>
        <w:rPr>
          <w:rFonts w:ascii="Symbola" w:hAnsi="Symbola" w:cs="Symbola" w:eastAsia="Symbola"/>
          <w:w w:val="92"/>
          <w:sz w:val="17"/>
          <w:szCs w:val="17"/>
        </w:rPr>
        <w:t>×</w:t>
      </w:r>
      <w:r>
        <w:rPr>
          <w:rFonts w:ascii="Symbola" w:hAnsi="Symbola" w:cs="Symbola" w:eastAsia="Symbola"/>
          <w:spacing w:val="-1"/>
          <w:w w:val="114"/>
          <w:sz w:val="17"/>
          <w:szCs w:val="17"/>
        </w:rPr>
        <w:t>298</w:t>
      </w:r>
    </w:p>
    <w:p>
      <w:pPr>
        <w:pStyle w:val="BodyText"/>
        <w:spacing w:before="3"/>
        <w:rPr>
          <w:rFonts w:ascii="Symbola"/>
          <w:sz w:val="3"/>
        </w:rPr>
      </w:pPr>
    </w:p>
    <w:p>
      <w:pPr>
        <w:pStyle w:val="BodyText"/>
        <w:spacing w:line="62" w:lineRule="exact"/>
        <w:ind w:left="1514" w:right="-72"/>
        <w:rPr>
          <w:rFonts w:ascii="Symbola"/>
          <w:sz w:val="6"/>
        </w:rPr>
      </w:pPr>
      <w:r>
        <w:rPr>
          <w:rFonts w:ascii="Symbola"/>
          <w:position w:val="0"/>
          <w:sz w:val="6"/>
        </w:rPr>
        <w:pict>
          <v:group style="width:143.550pt;height:3.15pt;mso-position-horizontal-relative:char;mso-position-vertical-relative:line" coordorigin="0,0" coordsize="2871,63">
            <v:shape style="position:absolute;left:0;top:0;width:2871;height:63" coordorigin="0,0" coordsize="2871,63" path="m211,50l113,50,113,62,211,62,211,50xm2870,0l0,0,0,17,2870,17,2870,0xe" filled="true" fillcolor="#000000" stroked="false">
              <v:path arrowok="t"/>
              <v:fill type="solid"/>
            </v:shape>
          </v:group>
        </w:pict>
      </w:r>
      <w:r>
        <w:rPr>
          <w:rFonts w:ascii="Symbola"/>
          <w:position w:val="0"/>
          <w:sz w:val="6"/>
        </w:rPr>
      </w:r>
    </w:p>
    <w:p>
      <w:pPr>
        <w:spacing w:before="0"/>
        <w:ind w:left="1514" w:right="0" w:firstLine="0"/>
        <w:jc w:val="center"/>
        <w:rPr>
          <w:rFonts w:ascii="Symbola" w:hAnsi="Symbola" w:eastAsia="Symbola"/>
          <w:sz w:val="17"/>
        </w:rPr>
      </w:pPr>
      <w:r>
        <w:rPr>
          <w:rFonts w:ascii="Symbola" w:hAnsi="Symbola" w:eastAsia="Symbola"/>
          <w:w w:val="110"/>
          <w:sz w:val="17"/>
        </w:rPr>
        <w:t>√</w:t>
      </w:r>
      <w:r>
        <w:rPr>
          <w:rFonts w:ascii="Symbola" w:hAnsi="Symbola" w:eastAsia="Symbola"/>
          <w:w w:val="110"/>
          <w:position w:val="1"/>
          <w:sz w:val="17"/>
        </w:rPr>
        <w:t>2</w:t>
      </w:r>
      <w:r>
        <w:rPr>
          <w:rFonts w:ascii="Symbola" w:hAnsi="Symbola" w:eastAsia="Symbola"/>
          <w:spacing w:val="-15"/>
          <w:w w:val="110"/>
          <w:position w:val="1"/>
          <w:sz w:val="17"/>
        </w:rPr>
        <w:t> </w:t>
      </w:r>
      <w:r>
        <w:rPr>
          <w:rFonts w:ascii="Symbola" w:hAnsi="Symbola" w:eastAsia="Symbola"/>
          <w:w w:val="110"/>
          <w:position w:val="1"/>
          <w:sz w:val="17"/>
        </w:rPr>
        <w:t>𝜋</w:t>
      </w:r>
      <w:r>
        <w:rPr>
          <w:rFonts w:ascii="Symbola" w:hAnsi="Symbola" w:eastAsia="Symbola"/>
          <w:spacing w:val="-13"/>
          <w:w w:val="110"/>
          <w:position w:val="1"/>
          <w:sz w:val="17"/>
        </w:rPr>
        <w:t> </w:t>
      </w:r>
      <w:r>
        <w:rPr>
          <w:rFonts w:ascii="Symbola" w:hAnsi="Symbola" w:eastAsia="Symbola"/>
          <w:w w:val="110"/>
          <w:position w:val="1"/>
          <w:sz w:val="17"/>
        </w:rPr>
        <w:t>×</w:t>
      </w:r>
      <w:r>
        <w:rPr>
          <w:rFonts w:ascii="Symbola" w:hAnsi="Symbola" w:eastAsia="Symbola"/>
          <w:spacing w:val="-13"/>
          <w:w w:val="110"/>
          <w:position w:val="1"/>
          <w:sz w:val="17"/>
        </w:rPr>
        <w:t> </w:t>
      </w:r>
      <w:r>
        <w:rPr>
          <w:rFonts w:ascii="Symbola" w:hAnsi="Symbola" w:eastAsia="Symbola"/>
          <w:w w:val="110"/>
          <w:position w:val="2"/>
          <w:sz w:val="17"/>
        </w:rPr>
        <w:t>(</w:t>
      </w:r>
      <w:r>
        <w:rPr>
          <w:rFonts w:ascii="Symbola" w:hAnsi="Symbola" w:eastAsia="Symbola"/>
          <w:w w:val="110"/>
          <w:position w:val="1"/>
          <w:sz w:val="17"/>
        </w:rPr>
        <w:t>530</w:t>
      </w:r>
      <w:r>
        <w:rPr>
          <w:rFonts w:ascii="Symbola" w:hAnsi="Symbola" w:eastAsia="Symbola"/>
          <w:spacing w:val="-14"/>
          <w:w w:val="110"/>
          <w:position w:val="1"/>
          <w:sz w:val="17"/>
        </w:rPr>
        <w:t> </w:t>
      </w:r>
      <w:r>
        <w:rPr>
          <w:rFonts w:ascii="Symbola" w:hAnsi="Symbola" w:eastAsia="Symbola"/>
          <w:w w:val="110"/>
          <w:position w:val="1"/>
          <w:sz w:val="17"/>
        </w:rPr>
        <w:t>×</w:t>
      </w:r>
      <w:r>
        <w:rPr>
          <w:rFonts w:ascii="Symbola" w:hAnsi="Symbola" w:eastAsia="Symbola"/>
          <w:spacing w:val="-15"/>
          <w:w w:val="110"/>
          <w:position w:val="1"/>
          <w:sz w:val="17"/>
        </w:rPr>
        <w:t> </w:t>
      </w:r>
      <w:r>
        <w:rPr>
          <w:rFonts w:ascii="Symbola" w:hAnsi="Symbola" w:eastAsia="Symbola"/>
          <w:w w:val="110"/>
          <w:position w:val="1"/>
          <w:sz w:val="17"/>
        </w:rPr>
        <w:t>10</w:t>
      </w:r>
      <w:r>
        <w:rPr>
          <w:rFonts w:ascii="Symbola" w:hAnsi="Symbola" w:eastAsia="Symbola"/>
          <w:w w:val="110"/>
          <w:position w:val="6"/>
          <w:sz w:val="14"/>
        </w:rPr>
        <w:t>−12</w:t>
      </w:r>
      <w:r>
        <w:rPr>
          <w:rFonts w:ascii="Symbola" w:hAnsi="Symbola" w:eastAsia="Symbola"/>
          <w:w w:val="110"/>
          <w:position w:val="2"/>
          <w:sz w:val="17"/>
        </w:rPr>
        <w:t>)</w:t>
      </w:r>
      <w:r>
        <w:rPr>
          <w:rFonts w:ascii="Symbola" w:hAnsi="Symbola" w:eastAsia="Symbola"/>
          <w:w w:val="110"/>
          <w:position w:val="6"/>
          <w:sz w:val="14"/>
        </w:rPr>
        <w:t>2</w:t>
      </w:r>
      <w:r>
        <w:rPr>
          <w:rFonts w:ascii="Symbola" w:hAnsi="Symbola" w:eastAsia="Symbola"/>
          <w:spacing w:val="1"/>
          <w:w w:val="110"/>
          <w:position w:val="6"/>
          <w:sz w:val="14"/>
        </w:rPr>
        <w:t> </w:t>
      </w:r>
      <w:r>
        <w:rPr>
          <w:rFonts w:ascii="Symbola" w:hAnsi="Symbola" w:eastAsia="Symbola"/>
          <w:w w:val="110"/>
          <w:position w:val="1"/>
          <w:sz w:val="17"/>
        </w:rPr>
        <w:t>×</w:t>
      </w:r>
      <w:r>
        <w:rPr>
          <w:rFonts w:ascii="Symbola" w:hAnsi="Symbola" w:eastAsia="Symbola"/>
          <w:spacing w:val="-15"/>
          <w:w w:val="110"/>
          <w:position w:val="1"/>
          <w:sz w:val="17"/>
        </w:rPr>
        <w:t> </w:t>
      </w:r>
      <w:r>
        <w:rPr>
          <w:rFonts w:ascii="Symbola" w:hAnsi="Symbola" w:eastAsia="Symbola"/>
          <w:w w:val="110"/>
          <w:position w:val="2"/>
          <w:sz w:val="17"/>
        </w:rPr>
        <w:t>(</w:t>
      </w:r>
      <w:r>
        <w:rPr>
          <w:rFonts w:ascii="Symbola" w:hAnsi="Symbola" w:eastAsia="Symbola"/>
          <w:w w:val="110"/>
          <w:position w:val="1"/>
          <w:sz w:val="17"/>
        </w:rPr>
        <w:t>1.01</w:t>
      </w:r>
      <w:r>
        <w:rPr>
          <w:rFonts w:ascii="Symbola" w:hAnsi="Symbola" w:eastAsia="Symbola"/>
          <w:spacing w:val="-16"/>
          <w:w w:val="110"/>
          <w:position w:val="1"/>
          <w:sz w:val="17"/>
        </w:rPr>
        <w:t> </w:t>
      </w:r>
      <w:r>
        <w:rPr>
          <w:rFonts w:ascii="Symbola" w:hAnsi="Symbola" w:eastAsia="Symbola"/>
          <w:w w:val="110"/>
          <w:position w:val="1"/>
          <w:sz w:val="17"/>
        </w:rPr>
        <w:t>×10</w:t>
      </w:r>
      <w:r>
        <w:rPr>
          <w:rFonts w:ascii="Symbola" w:hAnsi="Symbola" w:eastAsia="Symbola"/>
          <w:w w:val="110"/>
          <w:position w:val="6"/>
          <w:sz w:val="14"/>
        </w:rPr>
        <w:t>5</w:t>
      </w:r>
      <w:r>
        <w:rPr>
          <w:rFonts w:ascii="Symbola" w:hAnsi="Symbola" w:eastAsia="Symbola"/>
          <w:w w:val="110"/>
          <w:position w:val="2"/>
          <w:sz w:val="17"/>
        </w:rPr>
        <w:t>)</w:t>
      </w:r>
    </w:p>
    <w:p>
      <w:pPr>
        <w:pStyle w:val="BodyText"/>
        <w:spacing w:before="8"/>
        <w:rPr>
          <w:rFonts w:ascii="Symbola"/>
          <w:sz w:val="30"/>
        </w:rPr>
      </w:pPr>
      <w:r>
        <w:rPr/>
        <w:br w:type="column"/>
      </w:r>
      <w:r>
        <w:rPr>
          <w:rFonts w:ascii="Symbola"/>
          <w:sz w:val="30"/>
        </w:rPr>
      </w:r>
    </w:p>
    <w:p>
      <w:pPr>
        <w:pStyle w:val="BodyText"/>
        <w:tabs>
          <w:tab w:pos="2440" w:val="left" w:leader="none"/>
        </w:tabs>
        <w:ind w:left="204"/>
      </w:pPr>
      <w:r>
        <w:rPr>
          <w:spacing w:val="9"/>
        </w:rPr>
        <w:t>····························</w:t>
        <w:tab/>
      </w:r>
      <w:r>
        <w:rPr>
          <w:spacing w:val="7"/>
        </w:rPr>
        <w:t>·············(1</w:t>
      </w:r>
      <w:r>
        <w:rPr>
          <w:spacing w:val="70"/>
        </w:rPr>
        <w:t> </w:t>
      </w:r>
      <w:r>
        <w:rPr/>
        <w:t>2.2)</w:t>
      </w:r>
    </w:p>
    <w:p>
      <w:pPr>
        <w:spacing w:after="0"/>
        <w:sectPr>
          <w:type w:val="continuous"/>
          <w:pgSz w:w="11910" w:h="16840"/>
          <w:pgMar w:top="1300" w:bottom="940" w:left="1500" w:right="1480"/>
          <w:cols w:num="2" w:equalWidth="0">
            <w:col w:w="4386" w:space="40"/>
            <w:col w:w="4504"/>
          </w:cols>
        </w:sectPr>
      </w:pPr>
    </w:p>
    <w:p>
      <w:pPr>
        <w:pStyle w:val="BodyText"/>
        <w:spacing w:before="1"/>
        <w:rPr>
          <w:sz w:val="18"/>
        </w:rPr>
      </w:pPr>
    </w:p>
    <w:p>
      <w:pPr>
        <w:spacing w:after="0"/>
        <w:rPr>
          <w:sz w:val="18"/>
        </w:rPr>
        <w:sectPr>
          <w:type w:val="continuous"/>
          <w:pgSz w:w="11910" w:h="16840"/>
          <w:pgMar w:top="1300" w:bottom="940" w:left="1500" w:right="1480"/>
        </w:sectPr>
      </w:pPr>
    </w:p>
    <w:p>
      <w:pPr>
        <w:spacing w:before="125"/>
        <w:ind w:left="1531" w:right="0" w:firstLine="0"/>
        <w:jc w:val="left"/>
        <w:rPr>
          <w:rFonts w:ascii="Symbola" w:hAnsi="Symbola"/>
          <w:sz w:val="14"/>
        </w:rPr>
      </w:pPr>
      <w:r>
        <w:rPr/>
        <w:pict>
          <v:shape style="position:absolute;margin-left:126pt;margin-top:10.416913pt;width:18.7pt;height:14.1pt;mso-position-horizontal-relative:page;mso-position-vertical-relative:paragraph;z-index:15821824" type="#_x0000_t202" filled="false" stroked="false">
            <v:textbox inset="0,0,0,0">
              <w:txbxContent>
                <w:p>
                  <w:pPr>
                    <w:pStyle w:val="BodyText"/>
                    <w:spacing w:before="40"/>
                    <w:rPr>
                      <w:rFonts w:ascii="Symbola" w:eastAsia="Symbola"/>
                    </w:rPr>
                  </w:pPr>
                  <w:r>
                    <w:rPr>
                      <w:rFonts w:ascii="Symbola" w:eastAsia="Symbola"/>
                    </w:rPr>
                    <w:t>𝜆 </w:t>
                  </w:r>
                  <w:r>
                    <w:rPr>
                      <w:rFonts w:ascii="Symbola" w:eastAsia="Symbola"/>
                      <w:spacing w:val="-20"/>
                    </w:rPr>
                    <w:t>=</w:t>
                  </w:r>
                </w:p>
              </w:txbxContent>
            </v:textbox>
            <w10:wrap type="none"/>
          </v:shape>
        </w:pict>
      </w:r>
      <w:r>
        <w:rPr>
          <w:rFonts w:ascii="Symbola" w:hAnsi="Symbola"/>
          <w:w w:val="110"/>
          <w:sz w:val="17"/>
        </w:rPr>
        <w:t>4.11</w:t>
      </w:r>
      <w:r>
        <w:rPr>
          <w:rFonts w:ascii="Symbola" w:hAnsi="Symbola"/>
          <w:spacing w:val="-26"/>
          <w:w w:val="110"/>
          <w:sz w:val="17"/>
        </w:rPr>
        <w:t> </w:t>
      </w:r>
      <w:r>
        <w:rPr>
          <w:rFonts w:ascii="Symbola" w:hAnsi="Symbola"/>
          <w:w w:val="110"/>
          <w:sz w:val="17"/>
        </w:rPr>
        <w:t>×10</w:t>
      </w:r>
      <w:r>
        <w:rPr>
          <w:rFonts w:ascii="Symbola" w:hAnsi="Symbola"/>
          <w:w w:val="110"/>
          <w:position w:val="6"/>
          <w:sz w:val="14"/>
        </w:rPr>
        <w:t>−21</w:t>
      </w:r>
    </w:p>
    <w:p>
      <w:pPr>
        <w:pStyle w:val="BodyText"/>
        <w:spacing w:before="8"/>
        <w:rPr>
          <w:rFonts w:ascii="Symbola"/>
          <w:sz w:val="2"/>
        </w:rPr>
      </w:pPr>
    </w:p>
    <w:p>
      <w:pPr>
        <w:pStyle w:val="BodyText"/>
        <w:spacing w:line="20" w:lineRule="exact"/>
        <w:ind w:left="1514" w:right="-72"/>
        <w:rPr>
          <w:rFonts w:ascii="Symbola"/>
          <w:sz w:val="2"/>
        </w:rPr>
      </w:pPr>
      <w:r>
        <w:rPr>
          <w:rFonts w:ascii="Symbola"/>
          <w:sz w:val="2"/>
        </w:rPr>
        <w:pict>
          <v:group style="width:50.05pt;height:.85pt;mso-position-horizontal-relative:char;mso-position-vertical-relative:line" coordorigin="0,0" coordsize="1001,17">
            <v:rect style="position:absolute;left:0;top:0;width:1001;height:17" filled="true" fillcolor="#000000" stroked="false">
              <v:fill type="solid"/>
            </v:rect>
          </v:group>
        </w:pict>
      </w:r>
      <w:r>
        <w:rPr>
          <w:rFonts w:ascii="Symbola"/>
          <w:sz w:val="2"/>
        </w:rPr>
      </w:r>
    </w:p>
    <w:p>
      <w:pPr>
        <w:spacing w:before="17"/>
        <w:ind w:left="1514" w:right="0" w:firstLine="0"/>
        <w:jc w:val="left"/>
        <w:rPr>
          <w:rFonts w:ascii="Symbola" w:hAnsi="Symbola"/>
          <w:sz w:val="14"/>
        </w:rPr>
      </w:pPr>
      <w:r>
        <w:rPr>
          <w:rFonts w:ascii="Symbola" w:hAnsi="Symbola"/>
          <w:w w:val="105"/>
          <w:sz w:val="17"/>
        </w:rPr>
        <w:t>1.26 ×</w:t>
      </w:r>
      <w:r>
        <w:rPr>
          <w:rFonts w:ascii="Symbola" w:hAnsi="Symbola"/>
          <w:spacing w:val="20"/>
          <w:w w:val="105"/>
          <w:sz w:val="17"/>
        </w:rPr>
        <w:t> </w:t>
      </w:r>
      <w:r>
        <w:rPr>
          <w:rFonts w:ascii="Symbola" w:hAnsi="Symbola"/>
          <w:spacing w:val="-5"/>
          <w:w w:val="105"/>
          <w:sz w:val="17"/>
        </w:rPr>
        <w:t>10</w:t>
      </w:r>
      <w:r>
        <w:rPr>
          <w:rFonts w:ascii="Symbola" w:hAnsi="Symbola"/>
          <w:spacing w:val="-5"/>
          <w:w w:val="105"/>
          <w:position w:val="5"/>
          <w:sz w:val="14"/>
        </w:rPr>
        <w:t>−13</w:t>
      </w:r>
    </w:p>
    <w:p>
      <w:pPr>
        <w:pStyle w:val="BodyText"/>
        <w:tabs>
          <w:tab w:pos="3676" w:val="left" w:leader="none"/>
        </w:tabs>
        <w:spacing w:before="213"/>
        <w:ind w:left="640"/>
      </w:pPr>
      <w:r>
        <w:rPr/>
        <w:br w:type="column"/>
      </w:r>
      <w:r>
        <w:rPr>
          <w:spacing w:val="8"/>
        </w:rPr>
        <w:t>·············· </w:t>
      </w:r>
      <w:r>
        <w:rPr>
          <w:spacing w:val="30"/>
        </w:rPr>
        <w:t> </w:t>
      </w:r>
      <w:r>
        <w:rPr>
          <w:spacing w:val="9"/>
        </w:rPr>
        <w:t>························</w:t>
        <w:tab/>
      </w:r>
      <w:r>
        <w:rPr>
          <w:spacing w:val="8"/>
        </w:rPr>
        <w:t>················</w:t>
      </w:r>
      <w:r>
        <w:rPr>
          <w:spacing w:val="39"/>
        </w:rPr>
        <w:t> </w:t>
      </w:r>
      <w:r>
        <w:rPr/>
        <w:t>(12.3)</w:t>
      </w:r>
    </w:p>
    <w:p>
      <w:pPr>
        <w:spacing w:after="0"/>
        <w:sectPr>
          <w:type w:val="continuous"/>
          <w:pgSz w:w="11910" w:h="16840"/>
          <w:pgMar w:top="1300" w:bottom="940" w:left="1500" w:right="1480"/>
          <w:cols w:num="2" w:equalWidth="0">
            <w:col w:w="2510" w:space="40"/>
            <w:col w:w="6380"/>
          </w:cols>
        </w:sectPr>
      </w:pPr>
    </w:p>
    <w:p>
      <w:pPr>
        <w:pStyle w:val="BodyText"/>
        <w:tabs>
          <w:tab w:pos="4629" w:val="left" w:leader="none"/>
          <w:tab w:pos="8474" w:val="left" w:leader="none"/>
        </w:tabs>
        <w:spacing w:before="127"/>
        <w:ind w:left="1020"/>
      </w:pPr>
      <w:r>
        <w:rPr>
          <w:rFonts w:ascii="Symbola" w:hAnsi="Symbola" w:eastAsia="Symbola"/>
        </w:rPr>
        <w:t>𝜆 = 3.26  ×  10</w:t>
      </w:r>
      <w:r>
        <w:rPr>
          <w:rFonts w:ascii="Symbola" w:hAnsi="Symbola" w:eastAsia="Symbola"/>
          <w:vertAlign w:val="superscript"/>
        </w:rPr>
        <w:t>−8</w:t>
      </w:r>
      <w:r>
        <w:rPr>
          <w:rFonts w:ascii="Symbola" w:hAnsi="Symbola" w:eastAsia="Symbola"/>
          <w:vertAlign w:val="baseline"/>
        </w:rPr>
        <w:t> </w:t>
      </w:r>
      <w:r>
        <w:rPr>
          <w:vertAlign w:val="baseline"/>
        </w:rPr>
        <w:t>m   =</w:t>
      </w:r>
      <w:r>
        <w:rPr>
          <w:spacing w:val="-40"/>
          <w:vertAlign w:val="baseline"/>
        </w:rPr>
        <w:t> </w:t>
      </w:r>
      <w:r>
        <w:rPr>
          <w:vertAlign w:val="baseline"/>
        </w:rPr>
        <w:t>32.6 nm</w:t>
        <w:tab/>
      </w:r>
      <w:r>
        <w:rPr>
          <w:spacing w:val="8"/>
          <w:vertAlign w:val="baseline"/>
        </w:rPr>
        <w:t>··········································(12.4</w:t>
        <w:tab/>
      </w:r>
      <w:r>
        <w:rPr>
          <w:vertAlign w:val="baseline"/>
        </w:rPr>
        <w:t>)</w:t>
      </w:r>
    </w:p>
    <w:p>
      <w:pPr>
        <w:pStyle w:val="BodyText"/>
        <w:spacing w:before="7"/>
        <w:rPr>
          <w:sz w:val="29"/>
        </w:rPr>
      </w:pPr>
    </w:p>
    <w:p>
      <w:pPr>
        <w:pStyle w:val="BodyText"/>
        <w:spacing w:line="360" w:lineRule="auto"/>
        <w:ind w:left="300" w:right="318"/>
        <w:jc w:val="both"/>
      </w:pPr>
      <w:r>
        <w:rPr/>
        <w:t>In a mass spectrometer, the ions have to travel large distances (usually &gt;1 m). It is therefore absolutely essential to apply large vacuum for increasing the mean free path by several orders of magnitude. Let us now have look at some of the important mass analyzers:</w:t>
      </w:r>
    </w:p>
    <w:p>
      <w:pPr>
        <w:pStyle w:val="Heading4"/>
        <w:spacing w:before="206"/>
      </w:pPr>
      <w:r>
        <w:rPr/>
        <w:t>Magnetic sector</w:t>
      </w:r>
    </w:p>
    <w:p>
      <w:pPr>
        <w:pStyle w:val="BodyText"/>
        <w:spacing w:before="9"/>
        <w:rPr>
          <w:b/>
          <w:sz w:val="28"/>
        </w:rPr>
      </w:pPr>
    </w:p>
    <w:p>
      <w:pPr>
        <w:pStyle w:val="BodyText"/>
        <w:spacing w:line="360" w:lineRule="auto" w:before="1"/>
        <w:ind w:left="300" w:right="316"/>
        <w:jc w:val="both"/>
      </w:pPr>
      <w:r>
        <w:rPr/>
        <w:t>Figure 12.1 shows a diagram of the magnetic sector analyzer mass spectrometer. The ions (say, cations) generated in the ionization chamber are accelerated under a strong electric field. The accelerated ions are allowed to pass through a narrow slit resulting in a sharply focused ion beam. The ions in the beam can be deflected by applying a magnetic field perpendicular to the velocity of the ions.</w:t>
      </w:r>
    </w:p>
    <w:p>
      <w:pPr>
        <w:pStyle w:val="BodyText"/>
        <w:spacing w:before="9"/>
        <w:rPr>
          <w:sz w:val="14"/>
        </w:rPr>
      </w:pPr>
      <w:r>
        <w:rPr/>
        <w:drawing>
          <wp:anchor distT="0" distB="0" distL="0" distR="0" allowOverlap="1" layoutInCell="1" locked="0" behindDoc="0" simplePos="0" relativeHeight="183">
            <wp:simplePos x="0" y="0"/>
            <wp:positionH relativeFrom="page">
              <wp:posOffset>1529619</wp:posOffset>
            </wp:positionH>
            <wp:positionV relativeFrom="paragraph">
              <wp:posOffset>133229</wp:posOffset>
            </wp:positionV>
            <wp:extent cx="4672120" cy="2753487"/>
            <wp:effectExtent l="0" t="0" r="0" b="0"/>
            <wp:wrapTopAndBottom/>
            <wp:docPr id="141" name="image75.jpeg" descr="Figure 12.1.tif"/>
            <wp:cNvGraphicFramePr>
              <a:graphicFrameLocks noChangeAspect="1"/>
            </wp:cNvGraphicFramePr>
            <a:graphic>
              <a:graphicData uri="http://schemas.openxmlformats.org/drawingml/2006/picture">
                <pic:pic>
                  <pic:nvPicPr>
                    <pic:cNvPr id="142" name="image75.jpeg"/>
                    <pic:cNvPicPr/>
                  </pic:nvPicPr>
                  <pic:blipFill>
                    <a:blip r:embed="rId83" cstate="print"/>
                    <a:stretch>
                      <a:fillRect/>
                    </a:stretch>
                  </pic:blipFill>
                  <pic:spPr>
                    <a:xfrm>
                      <a:off x="0" y="0"/>
                      <a:ext cx="4672120" cy="2753487"/>
                    </a:xfrm>
                    <a:prstGeom prst="rect">
                      <a:avLst/>
                    </a:prstGeom>
                  </pic:spPr>
                </pic:pic>
              </a:graphicData>
            </a:graphic>
          </wp:anchor>
        </w:drawing>
      </w:r>
    </w:p>
    <w:p>
      <w:pPr>
        <w:pStyle w:val="BodyText"/>
        <w:spacing w:before="6"/>
        <w:rPr>
          <w:sz w:val="30"/>
        </w:rPr>
      </w:pPr>
    </w:p>
    <w:p>
      <w:pPr>
        <w:spacing w:before="0"/>
        <w:ind w:left="792" w:right="617" w:firstLine="0"/>
        <w:jc w:val="center"/>
        <w:rPr>
          <w:b/>
          <w:sz w:val="16"/>
        </w:rPr>
      </w:pPr>
      <w:r>
        <w:rPr>
          <w:b/>
          <w:sz w:val="16"/>
        </w:rPr>
        <w:t>Figure 12.1 Diagram of a magnetic sector mass analyzer.</w:t>
      </w:r>
    </w:p>
    <w:p>
      <w:pPr>
        <w:pStyle w:val="BodyText"/>
        <w:spacing w:before="10"/>
        <w:rPr>
          <w:b/>
        </w:rPr>
      </w:pPr>
    </w:p>
    <w:p>
      <w:pPr>
        <w:pStyle w:val="BodyText"/>
        <w:spacing w:line="360" w:lineRule="auto"/>
        <w:ind w:left="300" w:right="318"/>
        <w:jc w:val="both"/>
      </w:pPr>
      <w:r>
        <w:rPr/>
        <w:t>Too small (blue dotted line, Figure 12.1) or too much deflection (red dotted line, Figure 12.1), which is determined by the charge and the momentum of the ions (Equation 11.8), causes the ions to collide with the MS tube. Therefore, the ions</w:t>
      </w:r>
    </w:p>
    <w:p>
      <w:pPr>
        <w:spacing w:after="0" w:line="360" w:lineRule="auto"/>
        <w:jc w:val="both"/>
        <w:sectPr>
          <w:pgSz w:w="11910" w:h="16840"/>
          <w:pgMar w:header="722" w:footer="748" w:top="1300" w:bottom="940" w:left="1500" w:right="1480"/>
        </w:sectPr>
      </w:pPr>
    </w:p>
    <w:p>
      <w:pPr>
        <w:pStyle w:val="BodyText"/>
        <w:spacing w:line="243" w:lineRule="exact" w:before="40"/>
        <w:ind w:left="300"/>
        <w:rPr>
          <w:rFonts w:ascii="Symbola" w:eastAsia="Symbola"/>
        </w:rPr>
      </w:pPr>
      <w:r>
        <w:rPr/>
        <w:pict>
          <v:rect style="position:absolute;margin-left:170.639999pt;margin-top:9.363123pt;width:8.040000pt;height:.84pt;mso-position-horizontal-relative:page;mso-position-vertical-relative:paragraph;z-index:-18444800" filled="true" fillcolor="#000000" stroked="false">
            <v:fill type="solid"/>
            <w10:wrap type="none"/>
          </v:rect>
        </w:pict>
      </w:r>
      <w:r>
        <w:rPr>
          <w:w w:val="110"/>
        </w:rPr>
        <w:t>within a small </w:t>
      </w:r>
      <w:r>
        <w:rPr>
          <w:spacing w:val="4"/>
          <w:w w:val="110"/>
        </w:rPr>
        <w:t> </w:t>
      </w:r>
      <w:r>
        <w:rPr>
          <w:rFonts w:ascii="Symbola" w:eastAsia="Symbola"/>
          <w:w w:val="120"/>
          <w:vertAlign w:val="superscript"/>
        </w:rPr>
        <w:t>𝑚</w:t>
      </w:r>
    </w:p>
    <w:p>
      <w:pPr>
        <w:spacing w:line="137" w:lineRule="exact" w:before="0"/>
        <w:ind w:left="0" w:right="33" w:firstLine="0"/>
        <w:jc w:val="right"/>
        <w:rPr>
          <w:rFonts w:ascii="Symbola" w:eastAsia="Symbola"/>
          <w:sz w:val="17"/>
        </w:rPr>
      </w:pPr>
      <w:r>
        <w:rPr>
          <w:rFonts w:ascii="Symbola" w:eastAsia="Symbola"/>
          <w:spacing w:val="-1"/>
          <w:w w:val="95"/>
          <w:sz w:val="17"/>
        </w:rPr>
        <w:t>𝑧</w:t>
      </w:r>
    </w:p>
    <w:p>
      <w:pPr>
        <w:pStyle w:val="BodyText"/>
        <w:spacing w:before="40"/>
        <w:ind w:left="86"/>
      </w:pPr>
      <w:r>
        <w:rPr/>
        <w:br w:type="column"/>
      </w:r>
      <w:r>
        <w:rPr/>
        <w:t>range will be allowed to go to the detector. It is possible to</w:t>
      </w:r>
    </w:p>
    <w:p>
      <w:pPr>
        <w:spacing w:after="0"/>
        <w:sectPr>
          <w:type w:val="continuous"/>
          <w:pgSz w:w="11910" w:h="16840"/>
          <w:pgMar w:top="1300" w:bottom="940" w:left="1500" w:right="1480"/>
          <w:cols w:num="2" w:equalWidth="0">
            <w:col w:w="2073" w:space="40"/>
            <w:col w:w="6817"/>
          </w:cols>
        </w:sectPr>
      </w:pPr>
    </w:p>
    <w:p>
      <w:pPr>
        <w:pStyle w:val="BodyText"/>
        <w:spacing w:line="360" w:lineRule="auto" w:before="102"/>
        <w:ind w:left="299" w:right="316"/>
        <w:jc w:val="both"/>
      </w:pPr>
      <w:r>
        <w:rPr/>
        <w:t>sequentially allow all the ionic species to reach the detector by gradually varying the magnetic field. Assume that the magnetic field strength is zero initially. All the ions will move straight (Equation 11.8) and collide with the curved MS tube losing their charge. If the magnetic field is slowly increased from zero to the maximum value,</w:t>
      </w:r>
      <w:r>
        <w:rPr>
          <w:spacing w:val="59"/>
        </w:rPr>
        <w:t> </w:t>
      </w:r>
      <w:r>
        <w:rPr/>
        <w:t>the</w:t>
      </w:r>
    </w:p>
    <w:p>
      <w:pPr>
        <w:spacing w:after="0" w:line="360" w:lineRule="auto"/>
        <w:jc w:val="both"/>
        <w:sectPr>
          <w:type w:val="continuous"/>
          <w:pgSz w:w="11910" w:h="16840"/>
          <w:pgMar w:top="1300" w:bottom="940" w:left="1500" w:right="1480"/>
        </w:sectPr>
      </w:pPr>
    </w:p>
    <w:p>
      <w:pPr>
        <w:pStyle w:val="BodyText"/>
        <w:spacing w:line="360" w:lineRule="auto" w:before="119"/>
        <w:ind w:left="300" w:right="317"/>
        <w:jc w:val="both"/>
      </w:pPr>
      <w:r>
        <w:rPr/>
        <w:t>ions with lowest momentum and highest charge will appear first while the ions with highest momentum and lowest charge will appear last.</w:t>
      </w:r>
    </w:p>
    <w:p>
      <w:pPr>
        <w:spacing w:before="200"/>
        <w:ind w:left="300" w:right="0" w:firstLine="0"/>
        <w:jc w:val="both"/>
        <w:rPr>
          <w:i/>
          <w:sz w:val="24"/>
        </w:rPr>
      </w:pPr>
      <w:r>
        <w:rPr>
          <w:i/>
          <w:sz w:val="24"/>
        </w:rPr>
        <w:t>Time of flight (TOF)</w:t>
      </w:r>
    </w:p>
    <w:p>
      <w:pPr>
        <w:pStyle w:val="BodyText"/>
        <w:spacing w:before="4"/>
        <w:rPr>
          <w:i/>
          <w:sz w:val="29"/>
        </w:rPr>
      </w:pPr>
    </w:p>
    <w:p>
      <w:pPr>
        <w:pStyle w:val="BodyText"/>
        <w:spacing w:line="360" w:lineRule="auto" w:before="1"/>
        <w:ind w:left="300" w:right="318"/>
        <w:jc w:val="both"/>
      </w:pPr>
      <w:r>
        <w:rPr/>
        <w:t>In a time of flight mass analyzer, the time taken by the ions to reach the detector is measured. The ions are generated in bundles </w:t>
      </w:r>
      <w:r>
        <w:rPr>
          <w:i/>
        </w:rPr>
        <w:t>e.g. </w:t>
      </w:r>
      <w:r>
        <w:rPr/>
        <w:t>by MALDI. The ions are then accelerated towards the flight tube. The flight tube does not have any electric field  and the ions drift in the flight tube according to their velocities (Figure</w:t>
      </w:r>
      <w:r>
        <w:rPr>
          <w:spacing w:val="-13"/>
        </w:rPr>
        <w:t> </w:t>
      </w:r>
      <w:r>
        <w:rPr/>
        <w:t>12.2).</w:t>
      </w:r>
    </w:p>
    <w:p>
      <w:pPr>
        <w:pStyle w:val="BodyText"/>
        <w:spacing w:before="7"/>
        <w:rPr>
          <w:sz w:val="17"/>
        </w:rPr>
      </w:pPr>
      <w:r>
        <w:rPr/>
        <w:drawing>
          <wp:anchor distT="0" distB="0" distL="0" distR="0" allowOverlap="1" layoutInCell="1" locked="0" behindDoc="0" simplePos="0" relativeHeight="185">
            <wp:simplePos x="0" y="0"/>
            <wp:positionH relativeFrom="page">
              <wp:posOffset>1448353</wp:posOffset>
            </wp:positionH>
            <wp:positionV relativeFrom="paragraph">
              <wp:posOffset>153532</wp:posOffset>
            </wp:positionV>
            <wp:extent cx="4837598" cy="2242185"/>
            <wp:effectExtent l="0" t="0" r="0" b="0"/>
            <wp:wrapTopAndBottom/>
            <wp:docPr id="143" name="image76.png" descr="Figure 12.2.tif"/>
            <wp:cNvGraphicFramePr>
              <a:graphicFrameLocks noChangeAspect="1"/>
            </wp:cNvGraphicFramePr>
            <a:graphic>
              <a:graphicData uri="http://schemas.openxmlformats.org/drawingml/2006/picture">
                <pic:pic>
                  <pic:nvPicPr>
                    <pic:cNvPr id="144" name="image76.png"/>
                    <pic:cNvPicPr/>
                  </pic:nvPicPr>
                  <pic:blipFill>
                    <a:blip r:embed="rId84" cstate="print"/>
                    <a:stretch>
                      <a:fillRect/>
                    </a:stretch>
                  </pic:blipFill>
                  <pic:spPr>
                    <a:xfrm>
                      <a:off x="0" y="0"/>
                      <a:ext cx="4837598" cy="2242185"/>
                    </a:xfrm>
                    <a:prstGeom prst="rect">
                      <a:avLst/>
                    </a:prstGeom>
                  </pic:spPr>
                </pic:pic>
              </a:graphicData>
            </a:graphic>
          </wp:anchor>
        </w:drawing>
      </w:r>
    </w:p>
    <w:p>
      <w:pPr>
        <w:pStyle w:val="BodyText"/>
        <w:spacing w:before="1"/>
        <w:rPr>
          <w:sz w:val="26"/>
        </w:rPr>
      </w:pPr>
    </w:p>
    <w:p>
      <w:pPr>
        <w:spacing w:before="0"/>
        <w:ind w:left="792" w:right="617" w:firstLine="0"/>
        <w:jc w:val="center"/>
        <w:rPr>
          <w:b/>
          <w:sz w:val="16"/>
        </w:rPr>
      </w:pPr>
      <w:r>
        <w:rPr>
          <w:b/>
          <w:sz w:val="16"/>
        </w:rPr>
        <w:t>Figure 12.2 Separation of the ions in a TOF tube</w:t>
      </w:r>
    </w:p>
    <w:p>
      <w:pPr>
        <w:pStyle w:val="BodyText"/>
        <w:spacing w:before="10"/>
        <w:rPr>
          <w:b/>
        </w:rPr>
      </w:pPr>
    </w:p>
    <w:p>
      <w:pPr>
        <w:pStyle w:val="BodyText"/>
        <w:spacing w:line="360" w:lineRule="auto"/>
        <w:ind w:left="299" w:right="315"/>
        <w:jc w:val="both"/>
      </w:pPr>
      <w:r>
        <w:rPr/>
        <w:t>If a particle with charge, </w:t>
      </w:r>
      <w:r>
        <w:rPr>
          <w:i/>
        </w:rPr>
        <w:t>q </w:t>
      </w:r>
      <w:r>
        <w:rPr/>
        <w:t>(= </w:t>
      </w:r>
      <w:r>
        <w:rPr>
          <w:i/>
        </w:rPr>
        <w:t>ez</w:t>
      </w:r>
      <w:r>
        <w:rPr/>
        <w:t>) and mass, </w:t>
      </w:r>
      <w:r>
        <w:rPr>
          <w:i/>
        </w:rPr>
        <w:t>m </w:t>
      </w:r>
      <w:r>
        <w:rPr/>
        <w:t>is accelerated towards the flight tube by electrostatic potential, </w:t>
      </w:r>
      <w:r>
        <w:rPr>
          <w:i/>
        </w:rPr>
        <w:t>V</w:t>
      </w:r>
      <w:r>
        <w:rPr/>
        <w:t>, the kinetic energy (</w:t>
      </w:r>
      <w:r>
        <w:rPr>
          <w:i/>
        </w:rPr>
        <w:t>KE</w:t>
      </w:r>
      <w:r>
        <w:rPr/>
        <w:t>) of the particle can be given by:</w:t>
      </w:r>
    </w:p>
    <w:p>
      <w:pPr>
        <w:pStyle w:val="BodyText"/>
        <w:tabs>
          <w:tab w:pos="2731" w:val="left" w:leader="none"/>
          <w:tab w:pos="7761" w:val="left" w:leader="none"/>
        </w:tabs>
        <w:spacing w:before="206"/>
        <w:ind w:left="561"/>
      </w:pPr>
      <w:r>
        <w:rPr>
          <w:rFonts w:ascii="Symbola" w:hAnsi="Symbola" w:eastAsia="Symbola"/>
        </w:rPr>
        <w:t>𝐾𝐸</w:t>
      </w:r>
      <w:r>
        <w:rPr>
          <w:rFonts w:ascii="Symbola" w:hAnsi="Symbola" w:eastAsia="Symbola"/>
          <w:spacing w:val="26"/>
        </w:rPr>
        <w:t> </w:t>
      </w:r>
      <w:r>
        <w:rPr>
          <w:rFonts w:ascii="Symbola" w:hAnsi="Symbola" w:eastAsia="Symbola"/>
        </w:rPr>
        <w:t>= </w:t>
      </w:r>
      <w:r>
        <w:rPr>
          <w:rFonts w:ascii="Symbola" w:hAnsi="Symbola" w:eastAsia="Symbola"/>
          <w:spacing w:val="15"/>
        </w:rPr>
        <w:t> </w:t>
      </w:r>
      <w:r>
        <w:rPr>
          <w:rFonts w:ascii="Symbola" w:hAnsi="Symbola" w:eastAsia="Symbola"/>
        </w:rPr>
        <w:t>𝑞𝑉</w:t>
        <w:tab/>
      </w:r>
      <w:r>
        <w:rPr>
          <w:spacing w:val="9"/>
        </w:rPr>
        <w:t>···························································</w:t>
        <w:tab/>
      </w:r>
      <w:r>
        <w:rPr/>
        <w:t>(12.5)</w:t>
      </w:r>
    </w:p>
    <w:p>
      <w:pPr>
        <w:pStyle w:val="BodyText"/>
        <w:spacing w:before="1"/>
        <w:rPr>
          <w:sz w:val="35"/>
        </w:rPr>
      </w:pPr>
    </w:p>
    <w:p>
      <w:pPr>
        <w:pStyle w:val="BodyText"/>
        <w:tabs>
          <w:tab w:pos="2731" w:val="left" w:leader="none"/>
          <w:tab w:pos="7761" w:val="left" w:leader="none"/>
        </w:tabs>
        <w:spacing w:line="243" w:lineRule="exact"/>
        <w:ind w:left="561"/>
      </w:pPr>
      <w:r>
        <w:rPr/>
        <w:pict>
          <v:rect style="position:absolute;margin-left:103.080002pt;margin-top:7.363122pt;width:4.92pt;height:.84pt;mso-position-horizontal-relative:page;mso-position-vertical-relative:paragraph;z-index:-18443264" filled="true" fillcolor="#000000" stroked="false">
            <v:fill type="solid"/>
            <w10:wrap type="none"/>
          </v:rect>
        </w:pict>
      </w:r>
      <w:r>
        <w:rPr>
          <w:rFonts w:ascii="Symbola" w:hAnsi="Symbola" w:eastAsia="Symbola"/>
          <w:vertAlign w:val="superscript"/>
        </w:rPr>
        <w:t>1</w:t>
      </w:r>
      <w:r>
        <w:rPr>
          <w:rFonts w:ascii="Symbola" w:hAnsi="Symbola" w:eastAsia="Symbola"/>
          <w:vertAlign w:val="baseline"/>
        </w:rPr>
        <w:t> </w:t>
      </w:r>
      <w:r>
        <w:rPr>
          <w:rFonts w:ascii="Symbola" w:hAnsi="Symbola" w:eastAsia="Symbola"/>
          <w:spacing w:val="5"/>
          <w:vertAlign w:val="baseline"/>
        </w:rPr>
        <w:t>𝑚𝑣</w:t>
      </w:r>
      <w:r>
        <w:rPr>
          <w:rFonts w:ascii="Symbola" w:hAnsi="Symbola" w:eastAsia="Symbola"/>
          <w:spacing w:val="5"/>
          <w:vertAlign w:val="superscript"/>
        </w:rPr>
        <w:t>2</w:t>
      </w:r>
      <w:r>
        <w:rPr>
          <w:rFonts w:ascii="Symbola" w:hAnsi="Symbola" w:eastAsia="Symbola"/>
          <w:spacing w:val="8"/>
          <w:vertAlign w:val="baseline"/>
        </w:rPr>
        <w:t> </w:t>
      </w:r>
      <w:r>
        <w:rPr>
          <w:rFonts w:ascii="Symbola" w:hAnsi="Symbola" w:eastAsia="Symbola"/>
          <w:vertAlign w:val="baseline"/>
        </w:rPr>
        <w:t>= </w:t>
      </w:r>
      <w:r>
        <w:rPr>
          <w:rFonts w:ascii="Symbola" w:hAnsi="Symbola" w:eastAsia="Symbola"/>
          <w:spacing w:val="12"/>
          <w:vertAlign w:val="baseline"/>
        </w:rPr>
        <w:t> </w:t>
      </w:r>
      <w:r>
        <w:rPr>
          <w:rFonts w:ascii="Symbola" w:hAnsi="Symbola" w:eastAsia="Symbola"/>
          <w:vertAlign w:val="baseline"/>
        </w:rPr>
        <w:t>𝑧𝑒𝑉</w:t>
        <w:tab/>
      </w:r>
      <w:r>
        <w:rPr>
          <w:spacing w:val="9"/>
          <w:vertAlign w:val="baseline"/>
        </w:rPr>
        <w:t>···························································</w:t>
        <w:tab/>
      </w:r>
      <w:r>
        <w:rPr>
          <w:vertAlign w:val="baseline"/>
        </w:rPr>
        <w:t>(12.6)</w:t>
      </w:r>
    </w:p>
    <w:p>
      <w:pPr>
        <w:spacing w:line="137" w:lineRule="exact" w:before="0"/>
        <w:ind w:left="561" w:right="0" w:firstLine="0"/>
        <w:jc w:val="left"/>
        <w:rPr>
          <w:rFonts w:ascii="Symbola"/>
          <w:sz w:val="17"/>
        </w:rPr>
      </w:pPr>
      <w:r>
        <w:rPr>
          <w:rFonts w:ascii="Symbola"/>
          <w:w w:val="115"/>
          <w:sz w:val="17"/>
        </w:rPr>
        <w:t>2</w:t>
      </w:r>
    </w:p>
    <w:p>
      <w:pPr>
        <w:pStyle w:val="BodyText"/>
        <w:spacing w:before="2"/>
        <w:rPr>
          <w:rFonts w:ascii="Symbola"/>
          <w:sz w:val="20"/>
        </w:rPr>
      </w:pPr>
    </w:p>
    <w:p>
      <w:pPr>
        <w:pStyle w:val="BodyText"/>
        <w:spacing w:before="104"/>
        <w:ind w:left="1020"/>
      </w:pPr>
      <w:r>
        <w:rPr/>
        <w:t>where, </w:t>
      </w:r>
      <w:r>
        <w:rPr>
          <w:rFonts w:ascii="Symbola" w:eastAsia="Symbola"/>
        </w:rPr>
        <w:t>𝑣 </w:t>
      </w:r>
      <w:r>
        <w:rPr/>
        <w:t>is the velocity of the particle.</w:t>
      </w:r>
    </w:p>
    <w:p>
      <w:pPr>
        <w:pStyle w:val="BodyText"/>
        <w:rPr>
          <w:sz w:val="30"/>
        </w:rPr>
      </w:pPr>
    </w:p>
    <w:p>
      <w:pPr>
        <w:pStyle w:val="BodyText"/>
        <w:spacing w:before="1"/>
        <w:ind w:left="299"/>
      </w:pPr>
      <w:r>
        <w:rPr/>
        <w:t>If, </w:t>
      </w:r>
      <w:r>
        <w:rPr>
          <w:i/>
        </w:rPr>
        <w:t>L </w:t>
      </w:r>
      <w:r>
        <w:rPr/>
        <w:t>is the length of the tube, the time taken by an ion with velocity </w:t>
      </w:r>
      <w:r>
        <w:rPr>
          <w:rFonts w:ascii="Symbola" w:eastAsia="Symbola"/>
        </w:rPr>
        <w:t>𝑣 </w:t>
      </w:r>
      <w:r>
        <w:rPr/>
        <w:t>is given by:</w:t>
      </w:r>
    </w:p>
    <w:p>
      <w:pPr>
        <w:pStyle w:val="BodyText"/>
        <w:spacing w:before="5"/>
        <w:rPr>
          <w:sz w:val="19"/>
        </w:rPr>
      </w:pPr>
    </w:p>
    <w:p>
      <w:pPr>
        <w:spacing w:after="0"/>
        <w:rPr>
          <w:sz w:val="19"/>
        </w:rPr>
        <w:sectPr>
          <w:pgSz w:w="11910" w:h="16840"/>
          <w:pgMar w:header="722" w:footer="748" w:top="1300" w:bottom="940" w:left="1500" w:right="1480"/>
        </w:sectPr>
      </w:pPr>
    </w:p>
    <w:p>
      <w:pPr>
        <w:pStyle w:val="BodyText"/>
        <w:spacing w:line="207" w:lineRule="exact" w:before="215"/>
        <w:ind w:left="1020"/>
        <w:rPr>
          <w:rFonts w:ascii="Symbola" w:eastAsia="Symbola"/>
        </w:rPr>
      </w:pPr>
      <w:r>
        <w:rPr/>
        <w:pict>
          <v:rect style="position:absolute;margin-left:149.279999pt;margin-top:16.320152pt;width:5.04pt;height:.84pt;mso-position-horizontal-relative:page;mso-position-vertical-relative:paragraph;z-index:-18442752" filled="true" fillcolor="#000000" stroked="false">
            <v:fill type="solid"/>
            <w10:wrap type="none"/>
          </v:rect>
        </w:pict>
      </w:r>
      <w:r>
        <w:rPr>
          <w:rFonts w:ascii="Symbola" w:eastAsia="Symbola"/>
          <w:w w:val="95"/>
        </w:rPr>
        <w:t>𝑡 =</w:t>
      </w:r>
      <w:r>
        <w:rPr>
          <w:rFonts w:ascii="Symbola" w:eastAsia="Symbola"/>
          <w:spacing w:val="38"/>
          <w:w w:val="95"/>
        </w:rPr>
        <w:t> </w:t>
      </w:r>
      <w:r>
        <w:rPr>
          <w:rFonts w:ascii="Symbola" w:eastAsia="Symbola"/>
          <w:w w:val="95"/>
          <w:vertAlign w:val="superscript"/>
        </w:rPr>
        <w:t>𝐿</w:t>
      </w:r>
    </w:p>
    <w:p>
      <w:pPr>
        <w:spacing w:line="137" w:lineRule="exact" w:before="0"/>
        <w:ind w:left="0" w:right="0" w:firstLine="0"/>
        <w:jc w:val="right"/>
        <w:rPr>
          <w:rFonts w:ascii="Symbola" w:eastAsia="Symbola"/>
          <w:sz w:val="17"/>
        </w:rPr>
      </w:pPr>
      <w:r>
        <w:rPr>
          <w:rFonts w:ascii="Symbola" w:eastAsia="Symbola"/>
          <w:spacing w:val="-1"/>
          <w:sz w:val="17"/>
        </w:rPr>
        <w:t>𝑣</w:t>
      </w:r>
    </w:p>
    <w:p>
      <w:pPr>
        <w:pStyle w:val="BodyText"/>
        <w:tabs>
          <w:tab w:pos="5030" w:val="left" w:leader="none"/>
        </w:tabs>
        <w:spacing w:before="179"/>
        <w:jc w:val="center"/>
      </w:pPr>
      <w:r>
        <w:rPr/>
        <w:br w:type="column"/>
      </w:r>
      <w:r>
        <w:rPr>
          <w:spacing w:val="9"/>
        </w:rPr>
        <w:t>···························································</w:t>
        <w:tab/>
      </w:r>
      <w:r>
        <w:rPr/>
        <w:t>(12.7)</w:t>
      </w:r>
    </w:p>
    <w:p>
      <w:pPr>
        <w:spacing w:after="0"/>
        <w:jc w:val="center"/>
        <w:sectPr>
          <w:type w:val="continuous"/>
          <w:pgSz w:w="11910" w:h="16840"/>
          <w:pgMar w:top="1300" w:bottom="940" w:left="1500" w:right="1480"/>
          <w:cols w:num="2" w:equalWidth="0">
            <w:col w:w="1582" w:space="40"/>
            <w:col w:w="7308"/>
          </w:cols>
        </w:sectPr>
      </w:pPr>
    </w:p>
    <w:p>
      <w:pPr>
        <w:pStyle w:val="BodyText"/>
        <w:spacing w:before="9"/>
        <w:rPr>
          <w:sz w:val="17"/>
        </w:rPr>
      </w:pPr>
    </w:p>
    <w:p>
      <w:pPr>
        <w:pStyle w:val="BodyText"/>
        <w:spacing w:before="104"/>
        <w:ind w:left="300"/>
      </w:pPr>
      <w:r>
        <w:rPr/>
        <w:t>Substituting the value of </w:t>
      </w:r>
      <w:r>
        <w:rPr>
          <w:rFonts w:ascii="Symbola" w:eastAsia="Symbola"/>
        </w:rPr>
        <w:t>𝑣 </w:t>
      </w:r>
      <w:r>
        <w:rPr/>
        <w:t>from equation 12.6 into equation 12.7 gives:</w:t>
      </w:r>
    </w:p>
    <w:p>
      <w:pPr>
        <w:pStyle w:val="BodyText"/>
        <w:rPr>
          <w:sz w:val="20"/>
        </w:rPr>
      </w:pPr>
    </w:p>
    <w:p>
      <w:pPr>
        <w:pStyle w:val="BodyText"/>
        <w:spacing w:before="5" w:after="1"/>
        <w:rPr>
          <w:sz w:val="14"/>
        </w:rPr>
      </w:pPr>
    </w:p>
    <w:p>
      <w:pPr>
        <w:pStyle w:val="BodyText"/>
        <w:spacing w:line="20" w:lineRule="exact"/>
        <w:ind w:left="1612"/>
        <w:rPr>
          <w:sz w:val="2"/>
        </w:rPr>
      </w:pPr>
      <w:r>
        <w:rPr>
          <w:sz w:val="2"/>
        </w:rPr>
        <w:pict>
          <v:group style="width:19.1pt;height:.85pt;mso-position-horizontal-relative:char;mso-position-vertical-relative:line" coordorigin="0,0" coordsize="382,17">
            <v:rect style="position:absolute;left:0;top:0;width:382;height:17" filled="true" fillcolor="#000000" stroked="false">
              <v:fill type="solid"/>
            </v:rect>
          </v:group>
        </w:pict>
      </w:r>
      <w:r>
        <w:rPr>
          <w:sz w:val="2"/>
        </w:rPr>
      </w:r>
    </w:p>
    <w:p>
      <w:pPr>
        <w:spacing w:after="0" w:line="20" w:lineRule="exact"/>
        <w:rPr>
          <w:sz w:val="2"/>
        </w:rPr>
        <w:sectPr>
          <w:type w:val="continuous"/>
          <w:pgSz w:w="11910" w:h="16840"/>
          <w:pgMar w:top="1300" w:bottom="940" w:left="1500" w:right="1480"/>
        </w:sectPr>
      </w:pPr>
    </w:p>
    <w:p>
      <w:pPr>
        <w:pStyle w:val="BodyText"/>
        <w:spacing w:line="319" w:lineRule="exact" w:before="40"/>
        <w:ind w:left="1020"/>
        <w:rPr>
          <w:rFonts w:ascii="Symbola" w:hAnsi="Symbola" w:cs="Symbola" w:eastAsia="Symbola"/>
          <w:sz w:val="14"/>
          <w:szCs w:val="14"/>
        </w:rPr>
      </w:pPr>
      <w:r>
        <w:rPr/>
        <w:pict>
          <v:rect style="position:absolute;margin-left:155.639999pt;margin-top:13.149257pt;width:19.080pt;height:.84pt;mso-position-horizontal-relative:page;mso-position-vertical-relative:paragraph;z-index:-18442240" filled="true" fillcolor="#000000" stroked="false">
            <v:fill type="solid"/>
            <w10:wrap type="none"/>
          </v:rect>
        </w:pict>
      </w:r>
      <w:r>
        <w:rPr>
          <w:rFonts w:ascii="Symbola" w:hAnsi="Symbola" w:cs="Symbola" w:eastAsia="Symbola"/>
        </w:rPr>
        <w:t>𝑡 = </w:t>
      </w:r>
      <w:r>
        <w:rPr>
          <w:rFonts w:ascii="Symbola" w:hAnsi="Symbola" w:cs="Symbola" w:eastAsia="Symbola"/>
          <w:position w:val="2"/>
        </w:rPr>
        <w:t>�</w:t>
      </w:r>
      <w:r>
        <w:rPr>
          <w:rFonts w:ascii="Symbola" w:hAnsi="Symbola" w:cs="Symbola" w:eastAsia="Symbola"/>
          <w:position w:val="2"/>
          <w:vertAlign w:val="superscript"/>
        </w:rPr>
        <w:t>𝑚𝐿</w:t>
      </w:r>
      <w:r>
        <w:rPr>
          <w:rFonts w:ascii="Symbola" w:hAnsi="Symbola" w:cs="Symbola" w:eastAsia="Symbola"/>
          <w:position w:val="19"/>
          <w:sz w:val="14"/>
          <w:szCs w:val="14"/>
          <w:vertAlign w:val="baseline"/>
        </w:rPr>
        <w:t>2</w:t>
      </w:r>
    </w:p>
    <w:p>
      <w:pPr>
        <w:spacing w:line="137" w:lineRule="exact" w:before="0"/>
        <w:ind w:left="0" w:right="0" w:firstLine="0"/>
        <w:jc w:val="right"/>
        <w:rPr>
          <w:rFonts w:ascii="Symbola" w:eastAsia="Symbola"/>
          <w:sz w:val="17"/>
        </w:rPr>
      </w:pPr>
      <w:r>
        <w:rPr>
          <w:rFonts w:ascii="Symbola" w:eastAsia="Symbola"/>
          <w:sz w:val="17"/>
        </w:rPr>
        <w:t>2𝑧𝑒𝑣</w:t>
      </w:r>
    </w:p>
    <w:p>
      <w:pPr>
        <w:pStyle w:val="BodyText"/>
        <w:tabs>
          <w:tab w:pos="2835" w:val="left" w:leader="none"/>
          <w:tab w:pos="5467" w:val="left" w:leader="none"/>
        </w:tabs>
        <w:spacing w:before="116"/>
        <w:ind w:left="437"/>
      </w:pPr>
      <w:r>
        <w:rPr/>
        <w:br w:type="column"/>
      </w:r>
      <w:r>
        <w:rPr>
          <w:spacing w:val="9"/>
        </w:rPr>
        <w:t>······························</w:t>
        <w:tab/>
        <w:t>·····························</w:t>
        <w:tab/>
      </w:r>
      <w:r>
        <w:rPr/>
        <w:t>(12.8)</w:t>
      </w:r>
    </w:p>
    <w:p>
      <w:pPr>
        <w:spacing w:after="0"/>
        <w:sectPr>
          <w:type w:val="continuous"/>
          <w:pgSz w:w="11910" w:h="16840"/>
          <w:pgMar w:top="1300" w:bottom="940" w:left="1500" w:right="1480"/>
          <w:cols w:num="2" w:equalWidth="0">
            <w:col w:w="1993" w:space="40"/>
            <w:col w:w="6897"/>
          </w:cols>
        </w:sectPr>
      </w:pPr>
    </w:p>
    <w:p>
      <w:pPr>
        <w:pStyle w:val="BodyText"/>
        <w:spacing w:before="119"/>
        <w:ind w:left="300"/>
      </w:pPr>
      <w:r>
        <w:rPr/>
        <w:t>Equation 12.8 shows that the time taken by the particle to reach the detector is directly</w:t>
      </w:r>
    </w:p>
    <w:p>
      <w:pPr>
        <w:pStyle w:val="BodyText"/>
        <w:spacing w:line="182" w:lineRule="exact" w:before="176"/>
        <w:ind w:left="300"/>
      </w:pPr>
      <w:r>
        <w:rPr/>
        <w:pict>
          <v:rect style="position:absolute;margin-left:164.880005pt;margin-top:16.163128pt;width:8.040000pt;height:.84pt;mso-position-horizontal-relative:page;mso-position-vertical-relative:paragraph;z-index:15826944" filled="true" fillcolor="#000000" stroked="false">
            <v:fill type="solid"/>
            <w10:wrap type="none"/>
          </v:rect>
        </w:pict>
      </w:r>
      <w:r>
        <w:rPr/>
        <w:pict>
          <v:rect style="position:absolute;margin-left:225.839996pt;margin-top:16.163128pt;width:8.041pt;height:.84pt;mso-position-horizontal-relative:page;mso-position-vertical-relative:paragraph;z-index:15827456" filled="true" fillcolor="#000000" stroked="false">
            <v:fill type="solid"/>
            <w10:wrap type="none"/>
          </v:rect>
        </w:pict>
      </w:r>
      <w:r>
        <w:rPr>
          <w:w w:val="105"/>
        </w:rPr>
        <w:t>proportional to </w:t>
      </w:r>
      <w:r>
        <w:rPr>
          <w:rFonts w:ascii="Symbola" w:eastAsia="Symbola"/>
          <w:w w:val="120"/>
          <w:vertAlign w:val="superscript"/>
        </w:rPr>
        <w:t>𝑚</w:t>
      </w:r>
      <w:r>
        <w:rPr>
          <w:rFonts w:ascii="Symbola" w:eastAsia="Symbola"/>
          <w:w w:val="120"/>
          <w:vertAlign w:val="baseline"/>
        </w:rPr>
        <w:t> </w:t>
      </w:r>
      <w:r>
        <w:rPr>
          <w:w w:val="105"/>
          <w:vertAlign w:val="baseline"/>
        </w:rPr>
        <w:t>ratio. The </w:t>
      </w:r>
      <w:r>
        <w:rPr>
          <w:rFonts w:ascii="Symbola" w:eastAsia="Symbola"/>
          <w:w w:val="120"/>
          <w:vertAlign w:val="superscript"/>
        </w:rPr>
        <w:t>𝑚</w:t>
      </w:r>
      <w:r>
        <w:rPr>
          <w:rFonts w:ascii="Symbola" w:eastAsia="Symbola"/>
          <w:w w:val="120"/>
          <w:vertAlign w:val="baseline"/>
        </w:rPr>
        <w:t> </w:t>
      </w:r>
      <w:r>
        <w:rPr>
          <w:w w:val="105"/>
          <w:vertAlign w:val="baseline"/>
        </w:rPr>
        <w:t>ratio of the particle can therefore be calculated from the</w:t>
      </w:r>
    </w:p>
    <w:p>
      <w:pPr>
        <w:tabs>
          <w:tab w:pos="3050" w:val="left" w:leader="none"/>
        </w:tabs>
        <w:spacing w:before="28"/>
        <w:ind w:left="1831" w:right="0" w:firstLine="0"/>
        <w:jc w:val="left"/>
        <w:rPr>
          <w:rFonts w:ascii="Symbola" w:eastAsia="Symbola"/>
          <w:sz w:val="17"/>
        </w:rPr>
      </w:pPr>
      <w:r>
        <w:rPr>
          <w:rFonts w:ascii="Symbola" w:eastAsia="Symbola"/>
          <w:sz w:val="17"/>
        </w:rPr>
        <w:t>𝑧</w:t>
        <w:tab/>
        <w:t>𝑧</w:t>
      </w:r>
    </w:p>
    <w:p>
      <w:pPr>
        <w:pStyle w:val="BodyText"/>
        <w:spacing w:before="104"/>
        <w:ind w:left="300"/>
      </w:pPr>
      <w:r>
        <w:rPr/>
        <w:t>time of flight of the particle:</w:t>
      </w:r>
    </w:p>
    <w:p>
      <w:pPr>
        <w:pStyle w:val="BodyText"/>
        <w:spacing w:before="7"/>
        <w:rPr>
          <w:sz w:val="21"/>
        </w:rPr>
      </w:pPr>
    </w:p>
    <w:p>
      <w:pPr>
        <w:pStyle w:val="BodyText"/>
        <w:spacing w:before="90"/>
        <w:ind w:left="1020"/>
      </w:pPr>
      <w:r>
        <w:rPr/>
        <w:t>Rearranging equation 12.8:</w:t>
      </w:r>
    </w:p>
    <w:p>
      <w:pPr>
        <w:pStyle w:val="BodyText"/>
        <w:spacing w:before="9"/>
        <w:rPr>
          <w:sz w:val="19"/>
        </w:rPr>
      </w:pPr>
    </w:p>
    <w:p>
      <w:pPr>
        <w:spacing w:after="0"/>
        <w:rPr>
          <w:sz w:val="19"/>
        </w:rPr>
        <w:sectPr>
          <w:pgSz w:w="11910" w:h="16840"/>
          <w:pgMar w:header="722" w:footer="748" w:top="1300" w:bottom="940" w:left="1500" w:right="1480"/>
        </w:sectPr>
      </w:pPr>
    </w:p>
    <w:p>
      <w:pPr>
        <w:spacing w:line="98" w:lineRule="auto" w:before="153"/>
        <w:ind w:left="1020" w:right="0" w:firstLine="0"/>
        <w:jc w:val="left"/>
        <w:rPr>
          <w:rFonts w:ascii="Symbola" w:eastAsia="Symbola"/>
          <w:sz w:val="14"/>
        </w:rPr>
      </w:pPr>
      <w:r>
        <w:rPr>
          <w:rFonts w:ascii="Symbola" w:eastAsia="Symbola"/>
          <w:w w:val="140"/>
          <w:sz w:val="17"/>
        </w:rPr>
        <w:t>𝑚 </w:t>
      </w:r>
      <w:r>
        <w:rPr>
          <w:rFonts w:ascii="Symbola" w:eastAsia="Symbola"/>
          <w:w w:val="115"/>
          <w:position w:val="-13"/>
          <w:sz w:val="24"/>
        </w:rPr>
        <w:t>= </w:t>
      </w:r>
      <w:r>
        <w:rPr>
          <w:rFonts w:ascii="Symbola" w:eastAsia="Symbola"/>
          <w:w w:val="115"/>
          <w:sz w:val="17"/>
        </w:rPr>
        <w:t>2𝑒𝑣𝑡</w:t>
      </w:r>
      <w:r>
        <w:rPr>
          <w:rFonts w:ascii="Symbola" w:eastAsia="Symbola"/>
          <w:w w:val="115"/>
          <w:position w:val="6"/>
          <w:sz w:val="14"/>
        </w:rPr>
        <w:t>2</w:t>
      </w:r>
    </w:p>
    <w:p>
      <w:pPr>
        <w:tabs>
          <w:tab w:pos="1548" w:val="left" w:leader="none"/>
        </w:tabs>
        <w:spacing w:line="20" w:lineRule="exact"/>
        <w:ind w:left="1020" w:right="-87" w:firstLine="0"/>
        <w:rPr>
          <w:rFonts w:ascii="Symbola"/>
          <w:sz w:val="2"/>
        </w:rPr>
      </w:pPr>
      <w:r>
        <w:rPr>
          <w:rFonts w:ascii="Symbola"/>
          <w:sz w:val="2"/>
        </w:rPr>
        <w:pict>
          <v:group style="width:8.0500pt;height:.85pt;mso-position-horizontal-relative:char;mso-position-vertical-relative:line" coordorigin="0,0" coordsize="161,17">
            <v:rect style="position:absolute;left:0;top:0;width:161;height:17" filled="true" fillcolor="#000000" stroked="false">
              <v:fill type="solid"/>
            </v:rect>
          </v:group>
        </w:pict>
      </w:r>
      <w:r>
        <w:rPr>
          <w:rFonts w:ascii="Symbola"/>
          <w:sz w:val="2"/>
        </w:rPr>
      </w:r>
      <w:r>
        <w:rPr>
          <w:rFonts w:ascii="Symbola"/>
          <w:sz w:val="2"/>
        </w:rPr>
        <w:tab/>
      </w:r>
      <w:r>
        <w:rPr>
          <w:rFonts w:ascii="Symbola"/>
          <w:sz w:val="2"/>
        </w:rPr>
        <w:pict>
          <v:group style="width:23.4pt;height:.85pt;mso-position-horizontal-relative:char;mso-position-vertical-relative:line" coordorigin="0,0" coordsize="468,17">
            <v:rect style="position:absolute;left:0;top:0;width:468;height:17" filled="true" fillcolor="#000000" stroked="false">
              <v:fill type="solid"/>
            </v:rect>
          </v:group>
        </w:pict>
      </w:r>
      <w:r>
        <w:rPr>
          <w:rFonts w:ascii="Symbola"/>
          <w:sz w:val="2"/>
        </w:rPr>
      </w:r>
    </w:p>
    <w:p>
      <w:pPr>
        <w:pStyle w:val="BodyText"/>
        <w:tabs>
          <w:tab w:pos="5454" w:val="left" w:leader="none"/>
        </w:tabs>
        <w:spacing w:line="161" w:lineRule="exact" w:before="212"/>
        <w:ind w:left="424"/>
      </w:pPr>
      <w:r>
        <w:rPr/>
        <w:br w:type="column"/>
      </w:r>
      <w:r>
        <w:rPr>
          <w:spacing w:val="9"/>
        </w:rPr>
        <w:t>···························································</w:t>
        <w:tab/>
      </w:r>
      <w:r>
        <w:rPr/>
        <w:t>(12.9)</w:t>
      </w:r>
    </w:p>
    <w:p>
      <w:pPr>
        <w:spacing w:after="0" w:line="161" w:lineRule="exact"/>
        <w:sectPr>
          <w:type w:val="continuous"/>
          <w:pgSz w:w="11910" w:h="16840"/>
          <w:pgMar w:top="1300" w:bottom="940" w:left="1500" w:right="1480"/>
          <w:cols w:num="2" w:equalWidth="0">
            <w:col w:w="2006" w:space="40"/>
            <w:col w:w="6884"/>
          </w:cols>
        </w:sectPr>
      </w:pPr>
    </w:p>
    <w:p>
      <w:pPr>
        <w:tabs>
          <w:tab w:pos="1694" w:val="left" w:leader="none"/>
        </w:tabs>
        <w:spacing w:before="3"/>
        <w:ind w:left="1053" w:right="0" w:firstLine="0"/>
        <w:jc w:val="left"/>
        <w:rPr>
          <w:rFonts w:ascii="Symbola" w:eastAsia="Symbola"/>
          <w:sz w:val="14"/>
        </w:rPr>
      </w:pPr>
      <w:r>
        <w:rPr>
          <w:rFonts w:ascii="Symbola" w:eastAsia="Symbola"/>
          <w:w w:val="105"/>
          <w:sz w:val="17"/>
        </w:rPr>
        <w:t>𝑧</w:t>
        <w:tab/>
      </w:r>
      <w:r>
        <w:rPr>
          <w:rFonts w:ascii="Symbola" w:eastAsia="Symbola"/>
          <w:spacing w:val="-4"/>
          <w:w w:val="105"/>
          <w:sz w:val="17"/>
        </w:rPr>
        <w:t>𝐿</w:t>
      </w:r>
      <w:r>
        <w:rPr>
          <w:rFonts w:ascii="Symbola" w:eastAsia="Symbola"/>
          <w:spacing w:val="-4"/>
          <w:w w:val="105"/>
          <w:position w:val="5"/>
          <w:sz w:val="14"/>
        </w:rPr>
        <w:t>2</w:t>
      </w:r>
    </w:p>
    <w:p>
      <w:pPr>
        <w:pStyle w:val="BodyText"/>
        <w:spacing w:before="1"/>
        <w:rPr>
          <w:rFonts w:ascii="Symbola"/>
          <w:sz w:val="21"/>
        </w:rPr>
      </w:pPr>
    </w:p>
    <w:p>
      <w:pPr>
        <w:pStyle w:val="BodyText"/>
        <w:spacing w:before="90"/>
        <w:ind w:left="300"/>
        <w:jc w:val="both"/>
      </w:pPr>
      <w:r>
        <w:rPr/>
        <w:t>A </w:t>
      </w:r>
      <w:r>
        <w:rPr>
          <w:spacing w:val="7"/>
        </w:rPr>
        <w:t> </w:t>
      </w:r>
      <w:r>
        <w:rPr/>
        <w:t>serious </w:t>
      </w:r>
      <w:r>
        <w:rPr>
          <w:spacing w:val="7"/>
        </w:rPr>
        <w:t> </w:t>
      </w:r>
      <w:r>
        <w:rPr/>
        <w:t>problem </w:t>
      </w:r>
      <w:r>
        <w:rPr>
          <w:spacing w:val="9"/>
        </w:rPr>
        <w:t> </w:t>
      </w:r>
      <w:r>
        <w:rPr/>
        <w:t>with </w:t>
      </w:r>
      <w:r>
        <w:rPr>
          <w:spacing w:val="7"/>
        </w:rPr>
        <w:t> </w:t>
      </w:r>
      <w:r>
        <w:rPr/>
        <w:t>the </w:t>
      </w:r>
      <w:r>
        <w:rPr>
          <w:spacing w:val="7"/>
        </w:rPr>
        <w:t> </w:t>
      </w:r>
      <w:r>
        <w:rPr/>
        <w:t>linear </w:t>
      </w:r>
      <w:r>
        <w:rPr>
          <w:spacing w:val="6"/>
        </w:rPr>
        <w:t> </w:t>
      </w:r>
      <w:r>
        <w:rPr/>
        <w:t>TOF </w:t>
      </w:r>
      <w:r>
        <w:rPr>
          <w:spacing w:val="7"/>
        </w:rPr>
        <w:t> </w:t>
      </w:r>
      <w:r>
        <w:rPr/>
        <w:t>analyzers </w:t>
      </w:r>
      <w:r>
        <w:rPr>
          <w:spacing w:val="7"/>
        </w:rPr>
        <w:t> </w:t>
      </w:r>
      <w:r>
        <w:rPr/>
        <w:t>is </w:t>
      </w:r>
      <w:r>
        <w:rPr>
          <w:spacing w:val="8"/>
        </w:rPr>
        <w:t> </w:t>
      </w:r>
      <w:r>
        <w:rPr/>
        <w:t>their </w:t>
      </w:r>
      <w:r>
        <w:rPr>
          <w:spacing w:val="6"/>
        </w:rPr>
        <w:t> </w:t>
      </w:r>
      <w:r>
        <w:rPr/>
        <w:t>poor </w:t>
      </w:r>
      <w:r>
        <w:rPr>
          <w:spacing w:val="5"/>
        </w:rPr>
        <w:t> </w:t>
      </w:r>
      <w:r>
        <w:rPr/>
        <w:t>resolution. </w:t>
      </w:r>
      <w:r>
        <w:rPr>
          <w:spacing w:val="7"/>
        </w:rPr>
        <w:t> </w:t>
      </w:r>
      <w:r>
        <w:rPr/>
        <w:t>This</w:t>
      </w:r>
    </w:p>
    <w:p>
      <w:pPr>
        <w:pStyle w:val="BodyText"/>
        <w:spacing w:line="243" w:lineRule="exact" w:before="178"/>
        <w:ind w:left="300"/>
        <w:jc w:val="both"/>
      </w:pPr>
      <w:r>
        <w:rPr/>
        <w:pict>
          <v:rect style="position:absolute;margin-left:447.119995pt;margin-top:16.262148pt;width:8.040000pt;height:.841pt;mso-position-horizontal-relative:page;mso-position-vertical-relative:paragraph;z-index:-18439680" filled="true" fillcolor="#000000" stroked="false">
            <v:fill type="solid"/>
            <w10:wrap type="none"/>
          </v:rect>
        </w:pict>
      </w:r>
      <w:r>
        <w:rPr>
          <w:w w:val="105"/>
        </w:rPr>
        <w:t>happens</w:t>
      </w:r>
      <w:r>
        <w:rPr>
          <w:spacing w:val="-22"/>
          <w:w w:val="105"/>
        </w:rPr>
        <w:t> </w:t>
      </w:r>
      <w:r>
        <w:rPr>
          <w:w w:val="105"/>
        </w:rPr>
        <w:t>due</w:t>
      </w:r>
      <w:r>
        <w:rPr>
          <w:spacing w:val="-23"/>
          <w:w w:val="105"/>
        </w:rPr>
        <w:t> </w:t>
      </w:r>
      <w:r>
        <w:rPr>
          <w:w w:val="105"/>
        </w:rPr>
        <w:t>to</w:t>
      </w:r>
      <w:r>
        <w:rPr>
          <w:spacing w:val="-22"/>
          <w:w w:val="105"/>
        </w:rPr>
        <w:t> </w:t>
      </w:r>
      <w:r>
        <w:rPr>
          <w:w w:val="105"/>
        </w:rPr>
        <w:t>difference</w:t>
      </w:r>
      <w:r>
        <w:rPr>
          <w:spacing w:val="-23"/>
          <w:w w:val="105"/>
        </w:rPr>
        <w:t> </w:t>
      </w:r>
      <w:r>
        <w:rPr>
          <w:w w:val="105"/>
        </w:rPr>
        <w:t>in</w:t>
      </w:r>
      <w:r>
        <w:rPr>
          <w:spacing w:val="-22"/>
          <w:w w:val="105"/>
        </w:rPr>
        <w:t> </w:t>
      </w:r>
      <w:r>
        <w:rPr>
          <w:w w:val="105"/>
        </w:rPr>
        <w:t>the</w:t>
      </w:r>
      <w:r>
        <w:rPr>
          <w:spacing w:val="-23"/>
          <w:w w:val="105"/>
        </w:rPr>
        <w:t> </w:t>
      </w:r>
      <w:r>
        <w:rPr>
          <w:w w:val="105"/>
        </w:rPr>
        <w:t>flight</w:t>
      </w:r>
      <w:r>
        <w:rPr>
          <w:spacing w:val="-21"/>
          <w:w w:val="105"/>
        </w:rPr>
        <w:t> </w:t>
      </w:r>
      <w:r>
        <w:rPr>
          <w:w w:val="105"/>
        </w:rPr>
        <w:t>times</w:t>
      </w:r>
      <w:r>
        <w:rPr>
          <w:spacing w:val="-21"/>
          <w:w w:val="105"/>
        </w:rPr>
        <w:t> </w:t>
      </w:r>
      <w:r>
        <w:rPr>
          <w:w w:val="105"/>
        </w:rPr>
        <w:t>among</w:t>
      </w:r>
      <w:r>
        <w:rPr>
          <w:spacing w:val="-24"/>
          <w:w w:val="105"/>
        </w:rPr>
        <w:t> </w:t>
      </w:r>
      <w:r>
        <w:rPr>
          <w:w w:val="105"/>
        </w:rPr>
        <w:t>the</w:t>
      </w:r>
      <w:r>
        <w:rPr>
          <w:spacing w:val="-23"/>
          <w:w w:val="105"/>
        </w:rPr>
        <w:t> </w:t>
      </w:r>
      <w:r>
        <w:rPr>
          <w:w w:val="105"/>
        </w:rPr>
        <w:t>ions</w:t>
      </w:r>
      <w:r>
        <w:rPr>
          <w:spacing w:val="-21"/>
          <w:w w:val="105"/>
        </w:rPr>
        <w:t> </w:t>
      </w:r>
      <w:r>
        <w:rPr>
          <w:w w:val="105"/>
        </w:rPr>
        <w:t>having</w:t>
      </w:r>
      <w:r>
        <w:rPr>
          <w:spacing w:val="-24"/>
          <w:w w:val="105"/>
        </w:rPr>
        <w:t> </w:t>
      </w:r>
      <w:r>
        <w:rPr>
          <w:w w:val="105"/>
        </w:rPr>
        <w:t>same</w:t>
      </w:r>
      <w:r>
        <w:rPr>
          <w:spacing w:val="-20"/>
          <w:w w:val="105"/>
        </w:rPr>
        <w:t> </w:t>
      </w:r>
      <w:r>
        <w:rPr>
          <w:rFonts w:ascii="Symbola" w:eastAsia="Symbola"/>
          <w:w w:val="120"/>
          <w:vertAlign w:val="superscript"/>
        </w:rPr>
        <w:t>𝑚</w:t>
      </w:r>
      <w:r>
        <w:rPr>
          <w:rFonts w:ascii="Symbola" w:eastAsia="Symbola"/>
          <w:spacing w:val="-30"/>
          <w:w w:val="120"/>
          <w:vertAlign w:val="baseline"/>
        </w:rPr>
        <w:t> </w:t>
      </w:r>
      <w:r>
        <w:rPr>
          <w:w w:val="105"/>
          <w:vertAlign w:val="baseline"/>
        </w:rPr>
        <w:t>ratio.</w:t>
      </w:r>
      <w:r>
        <w:rPr>
          <w:spacing w:val="-22"/>
          <w:w w:val="105"/>
          <w:vertAlign w:val="baseline"/>
        </w:rPr>
        <w:t> </w:t>
      </w:r>
      <w:r>
        <w:rPr>
          <w:w w:val="105"/>
          <w:vertAlign w:val="baseline"/>
        </w:rPr>
        <w:t>The</w:t>
      </w:r>
    </w:p>
    <w:p>
      <w:pPr>
        <w:spacing w:line="137" w:lineRule="exact" w:before="0"/>
        <w:ind w:left="0" w:right="1358" w:firstLine="0"/>
        <w:jc w:val="right"/>
        <w:rPr>
          <w:rFonts w:ascii="Symbola" w:eastAsia="Symbola"/>
          <w:sz w:val="17"/>
        </w:rPr>
      </w:pPr>
      <w:r>
        <w:rPr>
          <w:rFonts w:ascii="Symbola" w:eastAsia="Symbola"/>
          <w:w w:val="90"/>
          <w:sz w:val="17"/>
        </w:rPr>
        <w:t>𝑧</w:t>
      </w:r>
    </w:p>
    <w:p>
      <w:pPr>
        <w:pStyle w:val="BodyText"/>
        <w:spacing w:line="360" w:lineRule="auto" w:before="101"/>
        <w:ind w:left="300" w:right="318"/>
        <w:jc w:val="both"/>
      </w:pPr>
      <w:r>
        <w:rPr/>
        <w:t>factors responsible for the poor resolution include length of the ionization laser pulse, space distribution of the ions formed, and spread in the initial kinetic energies of the ions. </w:t>
      </w:r>
      <w:r>
        <w:rPr>
          <w:spacing w:val="-3"/>
        </w:rPr>
        <w:t>In </w:t>
      </w:r>
      <w:r>
        <w:rPr/>
        <w:t>MALDI-TOF, for example, these factors severely affect the resolution. Two techniques have considerably improved the resolution in</w:t>
      </w:r>
      <w:r>
        <w:rPr>
          <w:spacing w:val="-9"/>
        </w:rPr>
        <w:t> </w:t>
      </w:r>
      <w:r>
        <w:rPr/>
        <w:t>MALDI-TOF:</w:t>
      </w:r>
    </w:p>
    <w:p>
      <w:pPr>
        <w:pStyle w:val="ListParagraph"/>
        <w:numPr>
          <w:ilvl w:val="0"/>
          <w:numId w:val="15"/>
        </w:numPr>
        <w:tabs>
          <w:tab w:pos="1020" w:val="left" w:leader="none"/>
        </w:tabs>
        <w:spacing w:line="360" w:lineRule="auto" w:before="202" w:after="0"/>
        <w:ind w:left="1020" w:right="315" w:hanging="488"/>
        <w:jc w:val="both"/>
        <w:rPr>
          <w:sz w:val="24"/>
        </w:rPr>
      </w:pPr>
      <w:r>
        <w:rPr>
          <w:sz w:val="24"/>
        </w:rPr>
        <w:t>Delayed extraction: In continuous extraction, the ions generated are continuously extracted towards the TOF tube. An ion with higher initial kinetic energy reaches the detector earlier than the ion with smaller initial kinetic energy. Delayed extraction improves this situation substantially. Following ionization, the ions are allowed to move in the field free region according to their kinetic energies during a short delay. An extraction pulse is then applied; the pulse gives more energy to the ions that are nearer to the ionization source as compared to those that have moved away. The ions with small initial kinetic energies, therefore gain more energy and catch up the ions moving ahead (Figure</w:t>
      </w:r>
      <w:r>
        <w:rPr>
          <w:spacing w:val="-5"/>
          <w:sz w:val="24"/>
        </w:rPr>
        <w:t> </w:t>
      </w:r>
      <w:r>
        <w:rPr>
          <w:sz w:val="24"/>
        </w:rPr>
        <w:t>12.3).</w:t>
      </w:r>
    </w:p>
    <w:p>
      <w:pPr>
        <w:spacing w:after="0" w:line="360" w:lineRule="auto"/>
        <w:jc w:val="both"/>
        <w:rPr>
          <w:sz w:val="24"/>
        </w:rPr>
        <w:sectPr>
          <w:type w:val="continuous"/>
          <w:pgSz w:w="11910" w:h="16840"/>
          <w:pgMar w:top="1300" w:bottom="940" w:left="1500" w:right="1480"/>
        </w:sectPr>
      </w:pPr>
    </w:p>
    <w:p>
      <w:pPr>
        <w:pStyle w:val="BodyText"/>
        <w:spacing w:before="10"/>
        <w:rPr>
          <w:sz w:val="12"/>
        </w:rPr>
      </w:pPr>
    </w:p>
    <w:p>
      <w:pPr>
        <w:pStyle w:val="BodyText"/>
        <w:ind w:left="591"/>
        <w:rPr>
          <w:sz w:val="20"/>
        </w:rPr>
      </w:pPr>
      <w:r>
        <w:rPr>
          <w:sz w:val="20"/>
        </w:rPr>
        <w:drawing>
          <wp:inline distT="0" distB="0" distL="0" distR="0">
            <wp:extent cx="5092519" cy="4216146"/>
            <wp:effectExtent l="0" t="0" r="0" b="0"/>
            <wp:docPr id="145" name="image77.png" descr="Figure 12.3.tif"/>
            <wp:cNvGraphicFramePr>
              <a:graphicFrameLocks noChangeAspect="1"/>
            </wp:cNvGraphicFramePr>
            <a:graphic>
              <a:graphicData uri="http://schemas.openxmlformats.org/drawingml/2006/picture">
                <pic:pic>
                  <pic:nvPicPr>
                    <pic:cNvPr id="146" name="image77.png"/>
                    <pic:cNvPicPr/>
                  </pic:nvPicPr>
                  <pic:blipFill>
                    <a:blip r:embed="rId85" cstate="print"/>
                    <a:stretch>
                      <a:fillRect/>
                    </a:stretch>
                  </pic:blipFill>
                  <pic:spPr>
                    <a:xfrm>
                      <a:off x="0" y="0"/>
                      <a:ext cx="5092519" cy="4216146"/>
                    </a:xfrm>
                    <a:prstGeom prst="rect">
                      <a:avLst/>
                    </a:prstGeom>
                  </pic:spPr>
                </pic:pic>
              </a:graphicData>
            </a:graphic>
          </wp:inline>
        </w:drawing>
      </w:r>
      <w:r>
        <w:rPr>
          <w:sz w:val="20"/>
        </w:rPr>
      </w:r>
    </w:p>
    <w:p>
      <w:pPr>
        <w:pStyle w:val="BodyText"/>
        <w:spacing w:before="11"/>
        <w:rPr>
          <w:sz w:val="16"/>
        </w:rPr>
      </w:pPr>
    </w:p>
    <w:p>
      <w:pPr>
        <w:spacing w:before="94"/>
        <w:ind w:left="792" w:right="617" w:firstLine="0"/>
        <w:jc w:val="center"/>
        <w:rPr>
          <w:b/>
          <w:sz w:val="16"/>
        </w:rPr>
      </w:pPr>
      <w:r>
        <w:rPr>
          <w:b/>
          <w:sz w:val="16"/>
        </w:rPr>
        <w:t>Figure 12.3 A diagrammatic representation of delayed extraction TOF</w:t>
      </w:r>
    </w:p>
    <w:p>
      <w:pPr>
        <w:spacing w:after="0"/>
        <w:jc w:val="center"/>
        <w:rPr>
          <w:sz w:val="16"/>
        </w:rPr>
        <w:sectPr>
          <w:pgSz w:w="11910" w:h="16840"/>
          <w:pgMar w:header="722" w:footer="748" w:top="1300" w:bottom="940" w:left="1500" w:right="1480"/>
        </w:sectPr>
      </w:pPr>
    </w:p>
    <w:p>
      <w:pPr>
        <w:pStyle w:val="ListParagraph"/>
        <w:numPr>
          <w:ilvl w:val="0"/>
          <w:numId w:val="15"/>
        </w:numPr>
        <w:tabs>
          <w:tab w:pos="1020" w:val="left" w:leader="none"/>
        </w:tabs>
        <w:spacing w:line="360" w:lineRule="auto" w:before="119" w:after="0"/>
        <w:ind w:left="1020" w:right="313" w:hanging="555"/>
        <w:jc w:val="both"/>
        <w:rPr>
          <w:sz w:val="24"/>
        </w:rPr>
      </w:pPr>
      <w:r>
        <w:rPr>
          <w:sz w:val="24"/>
        </w:rPr>
        <w:t>Reflectrons: A simple reflectron is composed of a series of equally spaced grids. The reflectron is placed at the tube end opposite to the ion source. A potential is applied to the reflectron so as to reflect the incoming ions. A reflectron therefore acts as an ion mirror. The ions with higher kinetic energy will travel longer distance before reflecting back than those have smaller kinetic energy. The ions with higher kinetic energy are therefore made to travel longer distances thereby correcting for the spread in the peaks (Figure 12.4).</w:t>
      </w:r>
    </w:p>
    <w:p>
      <w:pPr>
        <w:pStyle w:val="BodyText"/>
        <w:spacing w:before="1"/>
        <w:rPr>
          <w:sz w:val="17"/>
        </w:rPr>
      </w:pPr>
      <w:r>
        <w:rPr/>
        <w:drawing>
          <wp:anchor distT="0" distB="0" distL="0" distR="0" allowOverlap="1" layoutInCell="1" locked="0" behindDoc="0" simplePos="0" relativeHeight="195">
            <wp:simplePos x="0" y="0"/>
            <wp:positionH relativeFrom="page">
              <wp:posOffset>1468377</wp:posOffset>
            </wp:positionH>
            <wp:positionV relativeFrom="paragraph">
              <wp:posOffset>149697</wp:posOffset>
            </wp:positionV>
            <wp:extent cx="4787694" cy="2774442"/>
            <wp:effectExtent l="0" t="0" r="0" b="0"/>
            <wp:wrapTopAndBottom/>
            <wp:docPr id="147" name="image78.png" descr="Figure 12.4.tif"/>
            <wp:cNvGraphicFramePr>
              <a:graphicFrameLocks noChangeAspect="1"/>
            </wp:cNvGraphicFramePr>
            <a:graphic>
              <a:graphicData uri="http://schemas.openxmlformats.org/drawingml/2006/picture">
                <pic:pic>
                  <pic:nvPicPr>
                    <pic:cNvPr id="148" name="image78.png"/>
                    <pic:cNvPicPr/>
                  </pic:nvPicPr>
                  <pic:blipFill>
                    <a:blip r:embed="rId86" cstate="print"/>
                    <a:stretch>
                      <a:fillRect/>
                    </a:stretch>
                  </pic:blipFill>
                  <pic:spPr>
                    <a:xfrm>
                      <a:off x="0" y="0"/>
                      <a:ext cx="4787694" cy="2774442"/>
                    </a:xfrm>
                    <a:prstGeom prst="rect">
                      <a:avLst/>
                    </a:prstGeom>
                  </pic:spPr>
                </pic:pic>
              </a:graphicData>
            </a:graphic>
          </wp:anchor>
        </w:drawing>
      </w:r>
    </w:p>
    <w:p>
      <w:pPr>
        <w:pStyle w:val="BodyText"/>
        <w:spacing w:before="7"/>
        <w:rPr>
          <w:sz w:val="26"/>
        </w:rPr>
      </w:pPr>
    </w:p>
    <w:p>
      <w:pPr>
        <w:spacing w:before="0"/>
        <w:ind w:left="796" w:right="617" w:firstLine="0"/>
        <w:jc w:val="center"/>
        <w:rPr>
          <w:b/>
          <w:sz w:val="16"/>
        </w:rPr>
      </w:pPr>
      <w:r>
        <w:rPr>
          <w:b/>
          <w:sz w:val="16"/>
        </w:rPr>
        <w:t>Figure 12.4 A diagrammatic representation of reflectron-mode TOF</w:t>
      </w:r>
    </w:p>
    <w:p>
      <w:pPr>
        <w:spacing w:after="0"/>
        <w:jc w:val="center"/>
        <w:rPr>
          <w:sz w:val="16"/>
        </w:rPr>
        <w:sectPr>
          <w:pgSz w:w="11910" w:h="16840"/>
          <w:pgMar w:header="722" w:footer="748" w:top="1300" w:bottom="940" w:left="1500" w:right="1480"/>
        </w:sectPr>
      </w:pPr>
    </w:p>
    <w:p>
      <w:pPr>
        <w:spacing w:before="119"/>
        <w:ind w:left="300" w:right="0" w:firstLine="0"/>
        <w:jc w:val="both"/>
        <w:rPr>
          <w:i/>
          <w:sz w:val="24"/>
        </w:rPr>
      </w:pPr>
      <w:r>
        <w:rPr>
          <w:i/>
          <w:sz w:val="24"/>
        </w:rPr>
        <w:t>Quadrupole analyzers</w:t>
      </w:r>
    </w:p>
    <w:p>
      <w:pPr>
        <w:pStyle w:val="BodyText"/>
        <w:spacing w:before="5"/>
        <w:rPr>
          <w:i/>
          <w:sz w:val="29"/>
        </w:rPr>
      </w:pPr>
    </w:p>
    <w:p>
      <w:pPr>
        <w:pStyle w:val="BodyText"/>
        <w:spacing w:line="360" w:lineRule="auto"/>
        <w:ind w:left="299" w:right="316"/>
        <w:jc w:val="both"/>
      </w:pPr>
      <w:r>
        <w:rPr/>
        <w:drawing>
          <wp:anchor distT="0" distB="0" distL="0" distR="0" allowOverlap="1" layoutInCell="1" locked="0" behindDoc="0" simplePos="0" relativeHeight="196">
            <wp:simplePos x="0" y="0"/>
            <wp:positionH relativeFrom="page">
              <wp:posOffset>1353396</wp:posOffset>
            </wp:positionH>
            <wp:positionV relativeFrom="paragraph">
              <wp:posOffset>1615826</wp:posOffset>
            </wp:positionV>
            <wp:extent cx="5022818" cy="2443353"/>
            <wp:effectExtent l="0" t="0" r="0" b="0"/>
            <wp:wrapTopAndBottom/>
            <wp:docPr id="149" name="image79.jpeg" descr="Figure 12.4.tif"/>
            <wp:cNvGraphicFramePr>
              <a:graphicFrameLocks noChangeAspect="1"/>
            </wp:cNvGraphicFramePr>
            <a:graphic>
              <a:graphicData uri="http://schemas.openxmlformats.org/drawingml/2006/picture">
                <pic:pic>
                  <pic:nvPicPr>
                    <pic:cNvPr id="150" name="image79.jpeg"/>
                    <pic:cNvPicPr/>
                  </pic:nvPicPr>
                  <pic:blipFill>
                    <a:blip r:embed="rId87" cstate="print"/>
                    <a:stretch>
                      <a:fillRect/>
                    </a:stretch>
                  </pic:blipFill>
                  <pic:spPr>
                    <a:xfrm>
                      <a:off x="0" y="0"/>
                      <a:ext cx="5022818" cy="2443353"/>
                    </a:xfrm>
                    <a:prstGeom prst="rect">
                      <a:avLst/>
                    </a:prstGeom>
                  </pic:spPr>
                </pic:pic>
              </a:graphicData>
            </a:graphic>
          </wp:anchor>
        </w:drawing>
      </w:r>
      <w:r>
        <w:rPr/>
        <w:t>A quadrupole mass analyzer is made up of four rods arranged parallel to each other as shown in Figure 12.5. The principle of a quadrupole was proposed by Paul and Steinwegen in 1953 wherein hyperbolic cross-section of the rods was described as necessary. In practice, however, rods with circular cross section have also proved effective and have replaced the rods with hyperbolic cross-section in modern quadrupole detectors.</w:t>
      </w:r>
    </w:p>
    <w:p>
      <w:pPr>
        <w:pStyle w:val="BodyText"/>
        <w:spacing w:before="8"/>
        <w:rPr>
          <w:sz w:val="33"/>
        </w:rPr>
      </w:pPr>
    </w:p>
    <w:p>
      <w:pPr>
        <w:spacing w:before="0"/>
        <w:ind w:left="292" w:right="117" w:firstLine="0"/>
        <w:jc w:val="center"/>
        <w:rPr>
          <w:b/>
          <w:sz w:val="16"/>
        </w:rPr>
      </w:pPr>
      <w:r>
        <w:rPr>
          <w:b/>
          <w:sz w:val="16"/>
        </w:rPr>
        <w:t>Figure 12.5 A quadrupole mass analyzer (A) and the potential on the rods as a function of time (B).</w:t>
      </w:r>
    </w:p>
    <w:p>
      <w:pPr>
        <w:pStyle w:val="BodyText"/>
        <w:spacing w:before="10"/>
        <w:rPr>
          <w:b/>
        </w:rPr>
      </w:pPr>
    </w:p>
    <w:p>
      <w:pPr>
        <w:pStyle w:val="BodyText"/>
        <w:spacing w:line="360" w:lineRule="auto"/>
        <w:ind w:left="299" w:right="317"/>
        <w:jc w:val="both"/>
      </w:pPr>
      <w:r>
        <w:rPr/>
        <w:t>Consider the rods in x-z plane to be at a positive potential, U and the rods in y-z plane to be at a negative potential –U. An </w:t>
      </w:r>
      <w:r>
        <w:rPr>
          <w:i/>
        </w:rPr>
        <w:t>a.c. </w:t>
      </w:r>
      <w:r>
        <w:rPr/>
        <w:t>potential is subsequently applied to the rods such that the </w:t>
      </w:r>
      <w:r>
        <w:rPr>
          <w:i/>
        </w:rPr>
        <w:t>a.c. </w:t>
      </w:r>
      <w:r>
        <w:rPr/>
        <w:t>potential on the rods in x-z plane is 180° out of phase than that applied on the rods in the y-z plane. The potential on the rods in x-z and y-z plane can therefore be represented as</w:t>
      </w:r>
    </w:p>
    <w:p>
      <w:pPr>
        <w:pStyle w:val="BodyText"/>
        <w:spacing w:before="42"/>
        <w:ind w:left="3899"/>
        <w:rPr>
          <w:rFonts w:ascii="Symbola" w:hAnsi="Symbola" w:eastAsia="Symbola"/>
        </w:rPr>
      </w:pPr>
      <w:r>
        <w:rPr>
          <w:rFonts w:ascii="Symbola" w:hAnsi="Symbola" w:eastAsia="Symbola"/>
        </w:rPr>
        <w:t>𝛷</w:t>
      </w:r>
      <w:r>
        <w:rPr>
          <w:rFonts w:ascii="Symbola" w:hAnsi="Symbola" w:eastAsia="Symbola"/>
          <w:vertAlign w:val="subscript"/>
        </w:rPr>
        <w:t>𝑥−𝑧</w:t>
      </w:r>
      <w:r>
        <w:rPr>
          <w:rFonts w:ascii="Symbola" w:hAnsi="Symbola" w:eastAsia="Symbola"/>
          <w:vertAlign w:val="baseline"/>
        </w:rPr>
        <w:t> = 𝑈 + 𝑉𝑐𝑜𝑠𝜔𝑡</w:t>
      </w:r>
    </w:p>
    <w:p>
      <w:pPr>
        <w:pStyle w:val="BodyText"/>
        <w:spacing w:before="180"/>
        <w:ind w:left="3899"/>
        <w:rPr>
          <w:rFonts w:ascii="Symbola" w:hAnsi="Symbola" w:eastAsia="Symbola"/>
        </w:rPr>
      </w:pPr>
      <w:r>
        <w:rPr>
          <w:rFonts w:ascii="Symbola" w:hAnsi="Symbola" w:eastAsia="Symbola"/>
        </w:rPr>
        <w:t>𝛷</w:t>
      </w:r>
      <w:r>
        <w:rPr>
          <w:rFonts w:ascii="Symbola" w:hAnsi="Symbola" w:eastAsia="Symbola"/>
          <w:vertAlign w:val="subscript"/>
        </w:rPr>
        <w:t>𝑦−𝑧</w:t>
      </w:r>
      <w:r>
        <w:rPr>
          <w:rFonts w:ascii="Symbola" w:hAnsi="Symbola" w:eastAsia="Symbola"/>
          <w:vertAlign w:val="baseline"/>
        </w:rPr>
        <w:t> = −𝑈 − 𝑉𝑐𝑜𝑠𝜔𝑡</w:t>
      </w:r>
    </w:p>
    <w:p>
      <w:pPr>
        <w:pStyle w:val="BodyText"/>
        <w:spacing w:line="360" w:lineRule="auto" w:before="171"/>
        <w:ind w:left="300" w:right="315"/>
        <w:jc w:val="both"/>
      </w:pPr>
      <w:r>
        <w:rPr/>
        <w:t>The values of U range from 500 – 2000 volts while V ranges from 0 – 3000 V. The gas phase ions are accelerated and introduced into the quadrupole as a focused beam. To understand how the ions are separated inside a quadrupole, let us consider the rods in the x-z plane and those in the y-z planes separately. The rods in x-z plane have a positive </w:t>
      </w:r>
      <w:r>
        <w:rPr>
          <w:i/>
        </w:rPr>
        <w:t>d.c. </w:t>
      </w:r>
      <w:r>
        <w:rPr/>
        <w:t>potential and an </w:t>
      </w:r>
      <w:r>
        <w:rPr>
          <w:i/>
        </w:rPr>
        <w:t>a.c. </w:t>
      </w:r>
      <w:r>
        <w:rPr/>
        <w:t>potential that will periodically make the overall potential negative (Figure 12.5B). The ions will respond to the changes in the potential.</w:t>
      </w:r>
      <w:r>
        <w:rPr>
          <w:spacing w:val="16"/>
        </w:rPr>
        <w:t> </w:t>
      </w:r>
      <w:r>
        <w:rPr/>
        <w:t>If</w:t>
      </w:r>
      <w:r>
        <w:rPr>
          <w:spacing w:val="13"/>
        </w:rPr>
        <w:t> </w:t>
      </w:r>
      <w:r>
        <w:rPr/>
        <w:t>a</w:t>
      </w:r>
      <w:r>
        <w:rPr>
          <w:spacing w:val="13"/>
        </w:rPr>
        <w:t> </w:t>
      </w:r>
      <w:r>
        <w:rPr/>
        <w:t>cation</w:t>
      </w:r>
      <w:r>
        <w:rPr>
          <w:spacing w:val="14"/>
        </w:rPr>
        <w:t> </w:t>
      </w:r>
      <w:r>
        <w:rPr/>
        <w:t>is</w:t>
      </w:r>
      <w:r>
        <w:rPr>
          <w:spacing w:val="14"/>
        </w:rPr>
        <w:t> </w:t>
      </w:r>
      <w:r>
        <w:rPr/>
        <w:t>very</w:t>
      </w:r>
      <w:r>
        <w:rPr>
          <w:spacing w:val="9"/>
        </w:rPr>
        <w:t> </w:t>
      </w:r>
      <w:r>
        <w:rPr/>
        <w:t>heavy</w:t>
      </w:r>
      <w:r>
        <w:rPr>
          <w:spacing w:val="9"/>
        </w:rPr>
        <w:t> </w:t>
      </w:r>
      <w:r>
        <w:rPr/>
        <w:t>or</w:t>
      </w:r>
      <w:r>
        <w:rPr>
          <w:spacing w:val="13"/>
        </w:rPr>
        <w:t> </w:t>
      </w:r>
      <w:r>
        <w:rPr/>
        <w:t>the</w:t>
      </w:r>
      <w:r>
        <w:rPr>
          <w:spacing w:val="13"/>
        </w:rPr>
        <w:t> </w:t>
      </w:r>
      <w:r>
        <w:rPr/>
        <w:t>frequency</w:t>
      </w:r>
      <w:r>
        <w:rPr>
          <w:spacing w:val="9"/>
        </w:rPr>
        <w:t> </w:t>
      </w:r>
      <w:r>
        <w:rPr/>
        <w:t>of</w:t>
      </w:r>
      <w:r>
        <w:rPr>
          <w:spacing w:val="13"/>
        </w:rPr>
        <w:t> </w:t>
      </w:r>
      <w:r>
        <w:rPr/>
        <w:t>the</w:t>
      </w:r>
      <w:r>
        <w:rPr>
          <w:spacing w:val="13"/>
        </w:rPr>
        <w:t> </w:t>
      </w:r>
      <w:r>
        <w:rPr>
          <w:i/>
        </w:rPr>
        <w:t>a.c.</w:t>
      </w:r>
      <w:r>
        <w:rPr>
          <w:i/>
          <w:spacing w:val="14"/>
        </w:rPr>
        <w:t> </w:t>
      </w:r>
      <w:r>
        <w:rPr/>
        <w:t>potential</w:t>
      </w:r>
      <w:r>
        <w:rPr>
          <w:spacing w:val="14"/>
        </w:rPr>
        <w:t> </w:t>
      </w:r>
      <w:r>
        <w:rPr/>
        <w:t>is</w:t>
      </w:r>
      <w:r>
        <w:rPr>
          <w:spacing w:val="17"/>
        </w:rPr>
        <w:t> </w:t>
      </w:r>
      <w:r>
        <w:rPr/>
        <w:t>very</w:t>
      </w:r>
      <w:r>
        <w:rPr>
          <w:spacing w:val="9"/>
        </w:rPr>
        <w:t> </w:t>
      </w:r>
      <w:r>
        <w:rPr/>
        <w:t>high,</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3"/>
        <w:jc w:val="both"/>
      </w:pPr>
      <w:r>
        <w:rPr/>
        <w:t>the cation remains largely unaffected and experiences only the average potential. This causes the ion to get focused towards the centre. If a cation is very light, it will readily respond to the changes in the potential and can accelerate towards the rods during negative potential and collide with them. Collision of the cation with the quadrupole rods during negative potential depends on the magnitude of the potential on the rods, frequency of the </w:t>
      </w:r>
      <w:r>
        <w:rPr>
          <w:i/>
        </w:rPr>
        <w:t>a.c. </w:t>
      </w:r>
      <w:r>
        <w:rPr/>
        <w:t>potential, mass of the cation, charge on the cation, and the position of the cation in the quadrupole. Let us now turn our attention towards the rods in the </w:t>
      </w:r>
      <w:r>
        <w:rPr>
          <w:spacing w:val="-3"/>
        </w:rPr>
        <w:t>y-z </w:t>
      </w:r>
      <w:r>
        <w:rPr/>
        <w:t>plane. These rods have a negative average potential; the heavier  cations will therefore get accelerated towards the rods and collide with them. Lighter cations will respond to the </w:t>
      </w:r>
      <w:r>
        <w:rPr>
          <w:i/>
        </w:rPr>
        <w:t>a.c. </w:t>
      </w:r>
      <w:r>
        <w:rPr/>
        <w:t>potential and get focused towards the centre. We can say that the x-z rods filter out the lower masses while y-z rods filter out the higher masses. The four rods together can therefore be used to allow the passage of a very small range of masses. A quadrupole therefore acts as a mass</w:t>
      </w:r>
      <w:r>
        <w:rPr>
          <w:spacing w:val="-6"/>
        </w:rPr>
        <w:t> </w:t>
      </w:r>
      <w:r>
        <w:rPr/>
        <w:t>filter.</w:t>
      </w:r>
    </w:p>
    <w:p>
      <w:pPr>
        <w:spacing w:before="201"/>
        <w:ind w:left="300" w:right="0" w:firstLine="0"/>
        <w:jc w:val="both"/>
        <w:rPr>
          <w:i/>
          <w:sz w:val="24"/>
        </w:rPr>
      </w:pPr>
      <w:r>
        <w:rPr>
          <w:i/>
          <w:sz w:val="24"/>
        </w:rPr>
        <w:t>Ion trap</w:t>
      </w:r>
    </w:p>
    <w:p>
      <w:pPr>
        <w:pStyle w:val="BodyText"/>
        <w:spacing w:before="3"/>
        <w:rPr>
          <w:i/>
          <w:sz w:val="29"/>
        </w:rPr>
      </w:pPr>
    </w:p>
    <w:p>
      <w:pPr>
        <w:pStyle w:val="BodyText"/>
        <w:spacing w:line="360" w:lineRule="auto"/>
        <w:ind w:left="299" w:right="315"/>
        <w:jc w:val="both"/>
      </w:pPr>
      <w:r>
        <w:rPr/>
        <w:t>As the name suggests, ion trap mass analyzers trap the ions inside them. An ion trap can either be a 2D or a 3D ion trap. A 3D ion trap is basically a quadrupole in 3 dimensions. It has a circular electrode (also called a ring electrode) with two ellipsoid electrodes as its caps (Figure 12.6).</w:t>
      </w:r>
    </w:p>
    <w:p>
      <w:pPr>
        <w:pStyle w:val="BodyText"/>
        <w:spacing w:before="5"/>
        <w:rPr>
          <w:sz w:val="16"/>
        </w:rPr>
      </w:pPr>
      <w:r>
        <w:rPr/>
        <w:drawing>
          <wp:anchor distT="0" distB="0" distL="0" distR="0" allowOverlap="1" layoutInCell="1" locked="0" behindDoc="0" simplePos="0" relativeHeight="197">
            <wp:simplePos x="0" y="0"/>
            <wp:positionH relativeFrom="page">
              <wp:posOffset>1341635</wp:posOffset>
            </wp:positionH>
            <wp:positionV relativeFrom="paragraph">
              <wp:posOffset>144923</wp:posOffset>
            </wp:positionV>
            <wp:extent cx="5004378" cy="3163824"/>
            <wp:effectExtent l="0" t="0" r="0" b="0"/>
            <wp:wrapTopAndBottom/>
            <wp:docPr id="151" name="image80.jpeg" descr="Figure 12.5.tif"/>
            <wp:cNvGraphicFramePr>
              <a:graphicFrameLocks noChangeAspect="1"/>
            </wp:cNvGraphicFramePr>
            <a:graphic>
              <a:graphicData uri="http://schemas.openxmlformats.org/drawingml/2006/picture">
                <pic:pic>
                  <pic:nvPicPr>
                    <pic:cNvPr id="152" name="image80.jpeg"/>
                    <pic:cNvPicPr/>
                  </pic:nvPicPr>
                  <pic:blipFill>
                    <a:blip r:embed="rId88" cstate="print"/>
                    <a:stretch>
                      <a:fillRect/>
                    </a:stretch>
                  </pic:blipFill>
                  <pic:spPr>
                    <a:xfrm>
                      <a:off x="0" y="0"/>
                      <a:ext cx="5004378" cy="3163824"/>
                    </a:xfrm>
                    <a:prstGeom prst="rect">
                      <a:avLst/>
                    </a:prstGeom>
                  </pic:spPr>
                </pic:pic>
              </a:graphicData>
            </a:graphic>
          </wp:anchor>
        </w:drawing>
      </w:r>
    </w:p>
    <w:p>
      <w:pPr>
        <w:pStyle w:val="BodyText"/>
        <w:spacing w:before="3"/>
        <w:rPr>
          <w:sz w:val="26"/>
        </w:rPr>
      </w:pPr>
    </w:p>
    <w:p>
      <w:pPr>
        <w:spacing w:before="0"/>
        <w:ind w:left="795" w:right="617" w:firstLine="0"/>
        <w:jc w:val="center"/>
        <w:rPr>
          <w:b/>
          <w:sz w:val="16"/>
        </w:rPr>
      </w:pPr>
      <w:r>
        <w:rPr>
          <w:b/>
          <w:sz w:val="16"/>
        </w:rPr>
        <w:t>Figure 12.6 A diagrammatic representation of an ion trap</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3"/>
        <w:jc w:val="both"/>
      </w:pPr>
      <w:r>
        <w:rPr/>
        <w:t>All the three electrodes have hyperbolic surfaces. Unlike linear quadrupole (quadrupole with four parallel rods) wherein electrostatic forces act in two axes, forces act in all the three axes in an ion trap. This implies that the stable trajectories of the ions cause them to be trapped. Ion traps provide higher sensitivity and are useful in tandem mass spectrometry; ions of desired mass can selectively be allowed to escape the trap by varying the ac potential; the escaped ions can then be analyzed by another mass analyzer attached in</w:t>
      </w:r>
      <w:r>
        <w:rPr>
          <w:spacing w:val="-3"/>
        </w:rPr>
        <w:t> </w:t>
      </w:r>
      <w:r>
        <w:rPr/>
        <w:t>tandem.</w:t>
      </w:r>
    </w:p>
    <w:p>
      <w:pPr>
        <w:spacing w:before="201"/>
        <w:ind w:left="300" w:right="0" w:firstLine="0"/>
        <w:jc w:val="left"/>
        <w:rPr>
          <w:i/>
          <w:sz w:val="24"/>
        </w:rPr>
      </w:pPr>
      <w:r>
        <w:rPr>
          <w:i/>
          <w:sz w:val="24"/>
        </w:rPr>
        <w:t>Orbitrap</w:t>
      </w:r>
    </w:p>
    <w:p>
      <w:pPr>
        <w:pStyle w:val="BodyText"/>
        <w:spacing w:before="5"/>
        <w:rPr>
          <w:i/>
          <w:sz w:val="29"/>
        </w:rPr>
      </w:pPr>
    </w:p>
    <w:p>
      <w:pPr>
        <w:pStyle w:val="BodyText"/>
        <w:spacing w:line="360" w:lineRule="auto"/>
        <w:ind w:left="300" w:right="317"/>
        <w:jc w:val="both"/>
      </w:pPr>
      <w:r>
        <w:rPr/>
        <w:t>Orbitrap is an electrostatic ion trap. It has a barrel containing a spindle-shaped electrode at the centre. The spindle electrode is held at a constant negative voltage (- 3200 V) for positive ion mode MS. Ions enter the orbitrap tangentially and get trapped by revolving around the spindle shaped electrode (Figure 12.7). The ions can be ejected out by applying the radiofrequencies of suitable frequency to the central electrode.</w:t>
      </w:r>
    </w:p>
    <w:p>
      <w:pPr>
        <w:pStyle w:val="BodyText"/>
        <w:spacing w:before="4"/>
        <w:rPr>
          <w:sz w:val="16"/>
        </w:rPr>
      </w:pPr>
      <w:r>
        <w:rPr/>
        <w:drawing>
          <wp:anchor distT="0" distB="0" distL="0" distR="0" allowOverlap="1" layoutInCell="1" locked="0" behindDoc="0" simplePos="0" relativeHeight="198">
            <wp:simplePos x="0" y="0"/>
            <wp:positionH relativeFrom="page">
              <wp:posOffset>2139489</wp:posOffset>
            </wp:positionH>
            <wp:positionV relativeFrom="paragraph">
              <wp:posOffset>144588</wp:posOffset>
            </wp:positionV>
            <wp:extent cx="3465942" cy="2212848"/>
            <wp:effectExtent l="0" t="0" r="0" b="0"/>
            <wp:wrapTopAndBottom/>
            <wp:docPr id="153" name="image81.jpeg" descr="Figure 12.6.tif"/>
            <wp:cNvGraphicFramePr>
              <a:graphicFrameLocks noChangeAspect="1"/>
            </wp:cNvGraphicFramePr>
            <a:graphic>
              <a:graphicData uri="http://schemas.openxmlformats.org/drawingml/2006/picture">
                <pic:pic>
                  <pic:nvPicPr>
                    <pic:cNvPr id="154" name="image81.jpeg"/>
                    <pic:cNvPicPr/>
                  </pic:nvPicPr>
                  <pic:blipFill>
                    <a:blip r:embed="rId89" cstate="print"/>
                    <a:stretch>
                      <a:fillRect/>
                    </a:stretch>
                  </pic:blipFill>
                  <pic:spPr>
                    <a:xfrm>
                      <a:off x="0" y="0"/>
                      <a:ext cx="3465942" cy="2212848"/>
                    </a:xfrm>
                    <a:prstGeom prst="rect">
                      <a:avLst/>
                    </a:prstGeom>
                  </pic:spPr>
                </pic:pic>
              </a:graphicData>
            </a:graphic>
          </wp:anchor>
        </w:drawing>
      </w:r>
    </w:p>
    <w:p>
      <w:pPr>
        <w:pStyle w:val="BodyText"/>
        <w:spacing w:before="1"/>
        <w:rPr>
          <w:sz w:val="26"/>
        </w:rPr>
      </w:pPr>
    </w:p>
    <w:p>
      <w:pPr>
        <w:spacing w:before="1"/>
        <w:ind w:left="795" w:right="617" w:firstLine="0"/>
        <w:jc w:val="center"/>
        <w:rPr>
          <w:b/>
          <w:sz w:val="16"/>
        </w:rPr>
      </w:pPr>
      <w:r>
        <w:rPr>
          <w:b/>
          <w:sz w:val="16"/>
        </w:rPr>
        <w:t>Figure 12.7 A schematic diagram of an orbitrap</w:t>
      </w:r>
    </w:p>
    <w:p>
      <w:pPr>
        <w:pStyle w:val="BodyText"/>
        <w:spacing w:before="3"/>
        <w:rPr>
          <w:b/>
          <w:sz w:val="25"/>
        </w:rPr>
      </w:pPr>
    </w:p>
    <w:p>
      <w:pPr>
        <w:pStyle w:val="Heading4"/>
        <w:jc w:val="left"/>
      </w:pPr>
      <w:r>
        <w:rPr/>
        <w:t>Mass spectrometry coupled with chromatography</w:t>
      </w:r>
    </w:p>
    <w:p>
      <w:pPr>
        <w:pStyle w:val="BodyText"/>
        <w:rPr>
          <w:b/>
          <w:sz w:val="29"/>
        </w:rPr>
      </w:pPr>
    </w:p>
    <w:p>
      <w:pPr>
        <w:pStyle w:val="BodyText"/>
        <w:spacing w:line="360" w:lineRule="auto"/>
        <w:ind w:left="299" w:right="318"/>
        <w:jc w:val="both"/>
      </w:pPr>
      <w:r>
        <w:rPr/>
        <w:t>Mass spectrometers have been successfully coupled with the liquid and gas chromatographic methods. Chromatographic methods separate the compounds based on the differences in their physico-chemical properties. A complex mixture of compounds can be resolved into pure components using one or more chromatographic methods. Though excellent in separating the molecules, chromatographic methods do not allow identification of the unknown compounds in the mixture. The separated</w:t>
      </w:r>
    </w:p>
    <w:p>
      <w:pPr>
        <w:spacing w:after="0" w:line="360" w:lineRule="auto"/>
        <w:jc w:val="both"/>
        <w:sectPr>
          <w:pgSz w:w="11910" w:h="16840"/>
          <w:pgMar w:header="722" w:footer="748" w:top="1300" w:bottom="940" w:left="1500" w:right="1480"/>
        </w:sectPr>
      </w:pPr>
    </w:p>
    <w:p>
      <w:pPr>
        <w:pStyle w:val="BodyText"/>
        <w:spacing w:line="360" w:lineRule="auto" w:before="119"/>
        <w:ind w:left="299" w:right="315"/>
        <w:jc w:val="both"/>
      </w:pPr>
      <w:r>
        <w:rPr/>
        <w:t>components can be collected and identified using MS. </w:t>
      </w:r>
      <w:r>
        <w:rPr>
          <w:spacing w:val="-3"/>
        </w:rPr>
        <w:t>It </w:t>
      </w:r>
      <w:r>
        <w:rPr/>
        <w:t>is also possible to couple the mass spectrometers with the chromatographic methods. Gas chromatography (GC) and liquid chromatography (LC) coupled with mass spectrometers have emerged as very powerful analytical tools. GC allows easy interfacing with the mass spectrometers; a gas chromatographic column can directly be coupled to the ionization source of the MS. Interfacing the LC with MS, however, is not as straightforward. We shall not be discussing the different types of interfaces of </w:t>
      </w:r>
      <w:r>
        <w:rPr>
          <w:spacing w:val="-3"/>
        </w:rPr>
        <w:t>LC </w:t>
      </w:r>
      <w:r>
        <w:rPr/>
        <w:t>and MS. As it allows studying the large, polar, non-volatile, and thermolabile compounds, LC-MS is more widely used compared with GC-MS. Electrospray ionization is one of the softest ionization methods and probably the most widely used ionization method for LC-MS. LC-MS and GC-MS therefore allow determining the molecular masses of the eluants in real-time. The ions separated by MS can be fragmented in a collision cell; identification of these fragments by another mass analyzer allows identification of the compounds (tandem mass spectrometry). We shall see in the next lecture how fragmented ions help in the identification of the</w:t>
      </w:r>
      <w:r>
        <w:rPr>
          <w:spacing w:val="-5"/>
        </w:rPr>
        <w:t> </w:t>
      </w:r>
      <w:r>
        <w:rPr/>
        <w:t>compounds.</w:t>
      </w:r>
    </w:p>
    <w:p>
      <w:pPr>
        <w:pStyle w:val="BodyText"/>
        <w:spacing w:before="6"/>
        <w:rPr>
          <w:sz w:val="36"/>
        </w:rPr>
      </w:pPr>
    </w:p>
    <w:p>
      <w:pPr>
        <w:pStyle w:val="Heading4"/>
      </w:pPr>
      <w:r>
        <w:rPr/>
        <w:t>Tandem mass spectrometry</w:t>
      </w:r>
    </w:p>
    <w:p>
      <w:pPr>
        <w:pStyle w:val="BodyText"/>
        <w:spacing w:line="360" w:lineRule="auto" w:before="132"/>
        <w:ind w:left="300" w:right="316"/>
        <w:jc w:val="both"/>
      </w:pPr>
      <w:r>
        <w:rPr/>
        <w:t>Tandem mass spectrometry (also known as MS/MS) involves more than one mass analyzer. As we have just seen, incorporating more than one mass analyzer greatly enhances the capabilities of a mass spectrometer. Furthermore, it improves the sensitivity, mass resolution, and the mass accuracy of the spectrometer. The most common MS/MS experiment involves selecting an ion using first mass analyzer, which is then fragmented into daughter ions in a collision cell. The daughter ions are then detected by a second analyzer. It is possible to further fragment the daughter ions into granddaughter ions that are then analyzed by a third mass analyzer. It is in principle possible to do an MS</w:t>
      </w:r>
      <w:r>
        <w:rPr>
          <w:vertAlign w:val="superscript"/>
        </w:rPr>
        <w:t>n</w:t>
      </w:r>
      <w:r>
        <w:rPr>
          <w:vertAlign w:val="baseline"/>
        </w:rPr>
        <w:t> experiment. We shall see in the next lecture how powerful tandem mass spectrometry is in identifying and characterizing the biomolecules.</w:t>
      </w:r>
    </w:p>
    <w:p>
      <w:pPr>
        <w:spacing w:after="0" w:line="360" w:lineRule="auto"/>
        <w:jc w:val="both"/>
        <w:sectPr>
          <w:pgSz w:w="11910" w:h="16840"/>
          <w:pgMar w:header="722" w:footer="748" w:top="1300" w:bottom="940" w:left="1500" w:right="1480"/>
        </w:sectPr>
      </w:pPr>
    </w:p>
    <w:p>
      <w:pPr>
        <w:pStyle w:val="Heading4"/>
        <w:spacing w:before="124"/>
        <w:jc w:val="left"/>
      </w:pPr>
      <w:r>
        <w:rPr/>
        <w:t>Detectors</w:t>
      </w:r>
    </w:p>
    <w:p>
      <w:pPr>
        <w:pStyle w:val="BodyText"/>
        <w:spacing w:before="132"/>
        <w:ind w:left="300"/>
      </w:pPr>
      <w:r>
        <w:rPr/>
        <w:t>A variety of ion detectors presently exist, some of which are:</w:t>
      </w:r>
    </w:p>
    <w:p>
      <w:pPr>
        <w:pStyle w:val="BodyText"/>
        <w:spacing w:before="5"/>
        <w:rPr>
          <w:sz w:val="29"/>
        </w:rPr>
      </w:pPr>
    </w:p>
    <w:p>
      <w:pPr>
        <w:pStyle w:val="BodyText"/>
        <w:spacing w:line="360" w:lineRule="auto"/>
        <w:ind w:left="300" w:right="316"/>
        <w:jc w:val="both"/>
      </w:pPr>
      <w:r>
        <w:rPr>
          <w:i/>
        </w:rPr>
        <w:t>Electron multiplier: </w:t>
      </w:r>
      <w:r>
        <w:rPr/>
        <w:t>An electron multiplier is perhaps the most commonly used ion detector in mass spectrometers. It consists of a series of electrodes (dynodes). When an ion strikes the first dynode, it causes release of electrons from the dynode (the first dynode, therefore is a conversion dynode that converts the ion signal into electrons) that strike the second dynode releasing more electrons and so on. This cascading effect causes a large amplification in the electrical current (Figure 12.8A). Another design of the electron multiplier uses a continuous dynode</w:t>
      </w:r>
      <w:r>
        <w:rPr>
          <w:spacing w:val="-6"/>
        </w:rPr>
        <w:t> </w:t>
      </w:r>
      <w:r>
        <w:rPr/>
        <w:t>(12.8B).</w:t>
      </w:r>
    </w:p>
    <w:p>
      <w:pPr>
        <w:pStyle w:val="BodyText"/>
        <w:spacing w:before="8"/>
        <w:rPr>
          <w:sz w:val="17"/>
        </w:rPr>
      </w:pPr>
      <w:r>
        <w:rPr/>
        <w:drawing>
          <wp:anchor distT="0" distB="0" distL="0" distR="0" allowOverlap="1" layoutInCell="1" locked="0" behindDoc="0" simplePos="0" relativeHeight="199">
            <wp:simplePos x="0" y="0"/>
            <wp:positionH relativeFrom="page">
              <wp:posOffset>1314692</wp:posOffset>
            </wp:positionH>
            <wp:positionV relativeFrom="paragraph">
              <wp:posOffset>154169</wp:posOffset>
            </wp:positionV>
            <wp:extent cx="5121565" cy="1491996"/>
            <wp:effectExtent l="0" t="0" r="0" b="0"/>
            <wp:wrapTopAndBottom/>
            <wp:docPr id="155" name="image82.jpeg" descr="Figure 12.8.tif"/>
            <wp:cNvGraphicFramePr>
              <a:graphicFrameLocks noChangeAspect="1"/>
            </wp:cNvGraphicFramePr>
            <a:graphic>
              <a:graphicData uri="http://schemas.openxmlformats.org/drawingml/2006/picture">
                <pic:pic>
                  <pic:nvPicPr>
                    <pic:cNvPr id="156" name="image82.jpeg"/>
                    <pic:cNvPicPr/>
                  </pic:nvPicPr>
                  <pic:blipFill>
                    <a:blip r:embed="rId90" cstate="print"/>
                    <a:stretch>
                      <a:fillRect/>
                    </a:stretch>
                  </pic:blipFill>
                  <pic:spPr>
                    <a:xfrm>
                      <a:off x="0" y="0"/>
                      <a:ext cx="5121565" cy="1491996"/>
                    </a:xfrm>
                    <a:prstGeom prst="rect">
                      <a:avLst/>
                    </a:prstGeom>
                  </pic:spPr>
                </pic:pic>
              </a:graphicData>
            </a:graphic>
          </wp:anchor>
        </w:drawing>
      </w:r>
    </w:p>
    <w:p>
      <w:pPr>
        <w:pStyle w:val="BodyText"/>
        <w:rPr>
          <w:sz w:val="26"/>
        </w:rPr>
      </w:pPr>
    </w:p>
    <w:p>
      <w:pPr>
        <w:spacing w:before="175"/>
        <w:ind w:left="792" w:right="617" w:firstLine="0"/>
        <w:jc w:val="center"/>
        <w:rPr>
          <w:b/>
          <w:sz w:val="16"/>
        </w:rPr>
      </w:pPr>
      <w:r>
        <w:rPr>
          <w:b/>
          <w:sz w:val="16"/>
        </w:rPr>
        <w:t>Figure 12.8 A diagrammatic representation of current amplification in an electron multiplier</w:t>
      </w:r>
    </w:p>
    <w:p>
      <w:pPr>
        <w:pStyle w:val="BodyText"/>
        <w:spacing w:before="10"/>
        <w:rPr>
          <w:b/>
        </w:rPr>
      </w:pPr>
    </w:p>
    <w:p>
      <w:pPr>
        <w:pStyle w:val="BodyText"/>
        <w:spacing w:line="360" w:lineRule="auto"/>
        <w:ind w:left="300" w:right="318"/>
        <w:jc w:val="both"/>
      </w:pPr>
      <w:r>
        <w:rPr>
          <w:i/>
        </w:rPr>
        <w:t>Faraday cup: </w:t>
      </w:r>
      <w:r>
        <w:rPr/>
        <w:t>Faraday cup consists of a metallic cup that is connected to the earth through a resistor. An incoming ion strikes the cup and gets neutralized. This results in an electric current through the resistor that is proportional to the ion</w:t>
      </w:r>
      <w:r>
        <w:rPr>
          <w:spacing w:val="-12"/>
        </w:rPr>
        <w:t> </w:t>
      </w:r>
      <w:r>
        <w:rPr/>
        <w:t>abundance.</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5"/>
        <w:jc w:val="both"/>
      </w:pPr>
      <w:r>
        <w:rPr>
          <w:i/>
        </w:rPr>
        <w:t>Daly detector: </w:t>
      </w:r>
      <w:r>
        <w:rPr/>
        <w:t>A Daly detector is a type of electro-optical ion detector. The detector has one or more conversion dynodes that generate electrons in response to the ion strike. These electrons are accelerated towards a phosphor screen (scintillator) that generates photons in response to the electron strike. The photons, thus generated are detected by a photomultiplier tube (Figure 12.9).</w:t>
      </w:r>
    </w:p>
    <w:p>
      <w:pPr>
        <w:pStyle w:val="BodyText"/>
        <w:spacing w:before="9"/>
        <w:rPr>
          <w:sz w:val="14"/>
        </w:rPr>
      </w:pPr>
      <w:r>
        <w:rPr/>
        <w:drawing>
          <wp:anchor distT="0" distB="0" distL="0" distR="0" allowOverlap="1" layoutInCell="1" locked="0" behindDoc="0" simplePos="0" relativeHeight="200">
            <wp:simplePos x="0" y="0"/>
            <wp:positionH relativeFrom="page">
              <wp:posOffset>1318744</wp:posOffset>
            </wp:positionH>
            <wp:positionV relativeFrom="paragraph">
              <wp:posOffset>133125</wp:posOffset>
            </wp:positionV>
            <wp:extent cx="5102823" cy="3653409"/>
            <wp:effectExtent l="0" t="0" r="0" b="0"/>
            <wp:wrapTopAndBottom/>
            <wp:docPr id="157" name="image83.png" descr="Figure 12.9.tif"/>
            <wp:cNvGraphicFramePr>
              <a:graphicFrameLocks noChangeAspect="1"/>
            </wp:cNvGraphicFramePr>
            <a:graphic>
              <a:graphicData uri="http://schemas.openxmlformats.org/drawingml/2006/picture">
                <pic:pic>
                  <pic:nvPicPr>
                    <pic:cNvPr id="158" name="image83.png"/>
                    <pic:cNvPicPr/>
                  </pic:nvPicPr>
                  <pic:blipFill>
                    <a:blip r:embed="rId91" cstate="print"/>
                    <a:stretch>
                      <a:fillRect/>
                    </a:stretch>
                  </pic:blipFill>
                  <pic:spPr>
                    <a:xfrm>
                      <a:off x="0" y="0"/>
                      <a:ext cx="5102823" cy="3653409"/>
                    </a:xfrm>
                    <a:prstGeom prst="rect">
                      <a:avLst/>
                    </a:prstGeom>
                  </pic:spPr>
                </pic:pic>
              </a:graphicData>
            </a:graphic>
          </wp:anchor>
        </w:drawing>
      </w:r>
    </w:p>
    <w:p>
      <w:pPr>
        <w:pStyle w:val="BodyText"/>
        <w:spacing w:before="4"/>
        <w:rPr>
          <w:sz w:val="22"/>
        </w:rPr>
      </w:pPr>
    </w:p>
    <w:p>
      <w:pPr>
        <w:spacing w:before="0"/>
        <w:ind w:left="792" w:right="617" w:firstLine="0"/>
        <w:jc w:val="center"/>
        <w:rPr>
          <w:b/>
          <w:sz w:val="16"/>
        </w:rPr>
      </w:pPr>
      <w:r>
        <w:rPr>
          <w:b/>
          <w:sz w:val="16"/>
        </w:rPr>
        <w:t>Figure 12.9 Schematic diagram showing working principle of a Daly detector</w:t>
      </w:r>
    </w:p>
    <w:p>
      <w:pPr>
        <w:pStyle w:val="BodyText"/>
        <w:spacing w:before="5"/>
        <w:rPr>
          <w:b/>
          <w:sz w:val="18"/>
        </w:rPr>
      </w:pPr>
    </w:p>
    <w:p>
      <w:pPr>
        <w:pStyle w:val="BodyText"/>
        <w:spacing w:line="350" w:lineRule="atLeast"/>
        <w:ind w:left="300" w:right="317"/>
        <w:jc w:val="both"/>
      </w:pPr>
      <w:r>
        <w:rPr/>
        <w:pict>
          <v:rect style="position:absolute;margin-left:282.839996pt;margin-top:28.943295pt;width:8.040000pt;height:.841pt;mso-position-horizontal-relative:page;mso-position-vertical-relative:paragraph;z-index:-18435584" filled="true" fillcolor="#000000" stroked="false">
            <v:fill type="solid"/>
            <w10:wrap type="none"/>
          </v:rect>
        </w:pict>
      </w:r>
      <w:r>
        <w:rPr>
          <w:i/>
        </w:rPr>
        <w:t>Focal-plane detectors: </w:t>
      </w:r>
      <w:r>
        <w:rPr/>
        <w:t>All the above-mentioned detectors fall in the category of point ion detectors </w:t>
      </w:r>
      <w:r>
        <w:rPr>
          <w:i/>
        </w:rPr>
        <w:t>i.e. </w:t>
      </w:r>
      <w:r>
        <w:rPr/>
        <w:t>the ions with different </w:t>
      </w:r>
      <w:r>
        <w:rPr>
          <w:rFonts w:ascii="Symbola" w:eastAsia="Symbola"/>
          <w:w w:val="120"/>
          <w:vertAlign w:val="superscript"/>
        </w:rPr>
        <w:t>𝑚</w:t>
      </w:r>
      <w:r>
        <w:rPr>
          <w:rFonts w:ascii="Symbola" w:eastAsia="Symbola"/>
          <w:w w:val="120"/>
          <w:vertAlign w:val="baseline"/>
        </w:rPr>
        <w:t> </w:t>
      </w:r>
      <w:r>
        <w:rPr>
          <w:vertAlign w:val="baseline"/>
        </w:rPr>
        <w:t>are resolved in time and detected at a single</w:t>
      </w:r>
    </w:p>
    <w:p>
      <w:pPr>
        <w:spacing w:line="112" w:lineRule="exact" w:before="0"/>
        <w:ind w:left="164" w:right="617" w:firstLine="0"/>
        <w:jc w:val="center"/>
        <w:rPr>
          <w:rFonts w:ascii="Symbola" w:eastAsia="Symbola"/>
          <w:sz w:val="17"/>
        </w:rPr>
      </w:pPr>
      <w:r>
        <w:rPr>
          <w:rFonts w:ascii="Symbola" w:eastAsia="Symbola"/>
          <w:sz w:val="17"/>
        </w:rPr>
        <w:t>𝑧</w:t>
      </w:r>
    </w:p>
    <w:p>
      <w:pPr>
        <w:pStyle w:val="BodyText"/>
        <w:spacing w:line="243" w:lineRule="exact" w:before="42"/>
        <w:ind w:left="300"/>
        <w:jc w:val="both"/>
      </w:pPr>
      <w:r>
        <w:rPr/>
        <w:pict>
          <v:rect style="position:absolute;margin-left:479.279999pt;margin-top:9.463122pt;width:8.041pt;height:.84pt;mso-position-horizontal-relative:page;mso-position-vertical-relative:paragraph;z-index:-18435072" filled="true" fillcolor="#000000" stroked="false">
            <v:fill type="solid"/>
            <w10:wrap type="none"/>
          </v:rect>
        </w:pict>
      </w:r>
      <w:r>
        <w:rPr>
          <w:w w:val="105"/>
        </w:rPr>
        <w:t>point. Focal-plane detectors detect the ions simultaneously; the ions of different </w:t>
      </w:r>
      <w:r>
        <w:rPr>
          <w:rFonts w:ascii="Symbola" w:eastAsia="Symbola"/>
          <w:w w:val="120"/>
          <w:vertAlign w:val="superscript"/>
        </w:rPr>
        <w:t>𝑚</w:t>
      </w:r>
      <w:r>
        <w:rPr>
          <w:rFonts w:ascii="Symbola" w:eastAsia="Symbola"/>
          <w:w w:val="120"/>
          <w:vertAlign w:val="baseline"/>
        </w:rPr>
        <w:t> </w:t>
      </w:r>
      <w:r>
        <w:rPr>
          <w:w w:val="105"/>
          <w:vertAlign w:val="baseline"/>
        </w:rPr>
        <w:t>are</w:t>
      </w:r>
    </w:p>
    <w:p>
      <w:pPr>
        <w:spacing w:line="137" w:lineRule="exact" w:before="0"/>
        <w:ind w:left="0" w:right="715" w:firstLine="0"/>
        <w:jc w:val="right"/>
        <w:rPr>
          <w:rFonts w:ascii="Symbola" w:eastAsia="Symbola"/>
          <w:sz w:val="17"/>
        </w:rPr>
      </w:pPr>
      <w:r>
        <w:rPr>
          <w:rFonts w:ascii="Symbola" w:eastAsia="Symbola"/>
          <w:w w:val="90"/>
          <w:sz w:val="17"/>
        </w:rPr>
        <w:t>𝑧</w:t>
      </w:r>
    </w:p>
    <w:p>
      <w:pPr>
        <w:pStyle w:val="BodyText"/>
        <w:spacing w:before="6"/>
        <w:ind w:left="300"/>
        <w:jc w:val="both"/>
      </w:pPr>
      <w:r>
        <w:rPr/>
        <w:t>resolved in space, therefore strike at different points in array detectors (Figure 12.10).</w:t>
      </w:r>
    </w:p>
    <w:p>
      <w:pPr>
        <w:pStyle w:val="BodyText"/>
        <w:spacing w:before="2"/>
        <w:rPr>
          <w:sz w:val="23"/>
        </w:rPr>
      </w:pPr>
      <w:r>
        <w:rPr/>
        <w:drawing>
          <wp:anchor distT="0" distB="0" distL="0" distR="0" allowOverlap="1" layoutInCell="1" locked="0" behindDoc="0" simplePos="0" relativeHeight="201">
            <wp:simplePos x="0" y="0"/>
            <wp:positionH relativeFrom="page">
              <wp:posOffset>1699450</wp:posOffset>
            </wp:positionH>
            <wp:positionV relativeFrom="paragraph">
              <wp:posOffset>194367</wp:posOffset>
            </wp:positionV>
            <wp:extent cx="4279918" cy="1816607"/>
            <wp:effectExtent l="0" t="0" r="0" b="0"/>
            <wp:wrapTopAndBottom/>
            <wp:docPr id="159" name="image84.jpeg" descr="Figure 12.9.tif"/>
            <wp:cNvGraphicFramePr>
              <a:graphicFrameLocks noChangeAspect="1"/>
            </wp:cNvGraphicFramePr>
            <a:graphic>
              <a:graphicData uri="http://schemas.openxmlformats.org/drawingml/2006/picture">
                <pic:pic>
                  <pic:nvPicPr>
                    <pic:cNvPr id="160" name="image84.jpeg"/>
                    <pic:cNvPicPr/>
                  </pic:nvPicPr>
                  <pic:blipFill>
                    <a:blip r:embed="rId92" cstate="print"/>
                    <a:stretch>
                      <a:fillRect/>
                    </a:stretch>
                  </pic:blipFill>
                  <pic:spPr>
                    <a:xfrm>
                      <a:off x="0" y="0"/>
                      <a:ext cx="4279918" cy="1816607"/>
                    </a:xfrm>
                    <a:prstGeom prst="rect">
                      <a:avLst/>
                    </a:prstGeom>
                  </pic:spPr>
                </pic:pic>
              </a:graphicData>
            </a:graphic>
          </wp:anchor>
        </w:drawing>
      </w:r>
    </w:p>
    <w:p>
      <w:pPr>
        <w:spacing w:before="123"/>
        <w:ind w:left="292" w:right="114" w:firstLine="0"/>
        <w:jc w:val="center"/>
        <w:rPr>
          <w:b/>
          <w:sz w:val="16"/>
        </w:rPr>
      </w:pPr>
      <w:r>
        <w:rPr>
          <w:b/>
          <w:sz w:val="16"/>
        </w:rPr>
        <w:t>Figure 12.10 Schematic diagram showing a focal-plane detector for a magnetic sector mass analyzer</w:t>
      </w:r>
    </w:p>
    <w:p>
      <w:pPr>
        <w:spacing w:after="0"/>
        <w:jc w:val="center"/>
        <w:rPr>
          <w:sz w:val="16"/>
        </w:rPr>
        <w:sectPr>
          <w:pgSz w:w="11910" w:h="16840"/>
          <w:pgMar w:header="722" w:footer="748" w:top="1300" w:bottom="940" w:left="1500" w:right="1480"/>
        </w:sectPr>
      </w:pPr>
    </w:p>
    <w:p>
      <w:pPr>
        <w:pStyle w:val="Heading2"/>
      </w:pPr>
      <w:r>
        <w:rPr/>
        <w:t>Lecture 13 Mass Spectrometry-III</w:t>
      </w:r>
    </w:p>
    <w:p>
      <w:pPr>
        <w:pStyle w:val="BodyText"/>
        <w:spacing w:before="10"/>
        <w:rPr>
          <w:b/>
          <w:sz w:val="32"/>
        </w:rPr>
      </w:pPr>
    </w:p>
    <w:p>
      <w:pPr>
        <w:pStyle w:val="BodyText"/>
        <w:spacing w:line="360" w:lineRule="auto" w:before="1"/>
        <w:ind w:left="300" w:right="318"/>
        <w:jc w:val="both"/>
      </w:pPr>
      <w:r>
        <w:rPr/>
        <w:t>We have already studied the various methods of ionization and mass analysis in lectures 10 and 11. This lecture discusses the properties of the mass spectra, their interpretation, and their applications, particularly in biomolecular analysis.</w:t>
      </w:r>
    </w:p>
    <w:p>
      <w:pPr>
        <w:pStyle w:val="Heading4"/>
        <w:spacing w:before="205"/>
      </w:pPr>
      <w:r>
        <w:rPr/>
        <w:t>Characteristics of mass spectra</w:t>
      </w:r>
    </w:p>
    <w:p>
      <w:pPr>
        <w:pStyle w:val="BodyText"/>
        <w:rPr>
          <w:b/>
          <w:sz w:val="29"/>
        </w:rPr>
      </w:pPr>
    </w:p>
    <w:p>
      <w:pPr>
        <w:spacing w:line="360" w:lineRule="auto" w:before="0"/>
        <w:ind w:left="300" w:right="314" w:firstLine="0"/>
        <w:jc w:val="both"/>
        <w:rPr>
          <w:sz w:val="24"/>
        </w:rPr>
      </w:pPr>
      <w:r>
        <w:rPr>
          <w:sz w:val="24"/>
        </w:rPr>
        <w:t>There are three basic characteristics of mass spectrometry: </w:t>
      </w:r>
      <w:r>
        <w:rPr>
          <w:i/>
          <w:sz w:val="24"/>
        </w:rPr>
        <w:t>exact mass</w:t>
      </w:r>
      <w:r>
        <w:rPr>
          <w:sz w:val="24"/>
        </w:rPr>
        <w:t>, </w:t>
      </w:r>
      <w:r>
        <w:rPr>
          <w:i/>
          <w:sz w:val="24"/>
        </w:rPr>
        <w:t>isotopic </w:t>
      </w:r>
      <w:r>
        <w:rPr>
          <w:i/>
          <w:sz w:val="24"/>
        </w:rPr>
        <w:t>abundances</w:t>
      </w:r>
      <w:r>
        <w:rPr>
          <w:sz w:val="24"/>
        </w:rPr>
        <w:t>, and </w:t>
      </w:r>
      <w:r>
        <w:rPr>
          <w:i/>
          <w:sz w:val="24"/>
        </w:rPr>
        <w:t>fragmentation</w:t>
      </w:r>
      <w:r>
        <w:rPr>
          <w:sz w:val="24"/>
        </w:rPr>
        <w:t>.</w:t>
      </w:r>
    </w:p>
    <w:p>
      <w:pPr>
        <w:pStyle w:val="BodyText"/>
        <w:spacing w:line="360" w:lineRule="auto" w:before="199"/>
        <w:ind w:left="300" w:right="316"/>
        <w:jc w:val="both"/>
      </w:pPr>
      <w:r>
        <w:rPr>
          <w:i/>
        </w:rPr>
        <w:t>Exact mass: </w:t>
      </w:r>
      <w:r>
        <w:rPr/>
        <w:t>When we talk of molecular weights in general chemistry, we typically refer either to the nominal mass or the average molecular mass. Nominal mass is calculated by adding the atomic masses of the predominant isotopes of all the elements rounded off to the nearest integer. Average molecular mass is the weighted average of the masses of all the isotopes (without rounding off). Stable isotopes of hydrogen, carbon, nitrogen, and oxygen as well as their relative abundances are listed in table</w:t>
      </w:r>
      <w:r>
        <w:rPr>
          <w:spacing w:val="-2"/>
        </w:rPr>
        <w:t> </w:t>
      </w:r>
      <w:r>
        <w:rPr/>
        <w:t>13.1.</w:t>
      </w:r>
    </w:p>
    <w:p>
      <w:pPr>
        <w:pStyle w:val="BodyText"/>
        <w:spacing w:before="11"/>
        <w:rPr>
          <w:sz w:val="17"/>
        </w:rPr>
      </w:pPr>
    </w:p>
    <w:tbl>
      <w:tblPr>
        <w:tblW w:w="0" w:type="auto"/>
        <w:jc w:val="left"/>
        <w:tblInd w:w="4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59"/>
        <w:gridCol w:w="2611"/>
        <w:gridCol w:w="1908"/>
        <w:gridCol w:w="2426"/>
      </w:tblGrid>
      <w:tr>
        <w:trPr>
          <w:trHeight w:val="421" w:hRule="atLeast"/>
        </w:trPr>
        <w:tc>
          <w:tcPr>
            <w:tcW w:w="8104" w:type="dxa"/>
            <w:gridSpan w:val="4"/>
          </w:tcPr>
          <w:p>
            <w:pPr>
              <w:pStyle w:val="TableParagraph"/>
              <w:spacing w:line="240" w:lineRule="auto" w:before="4"/>
              <w:ind w:left="1579" w:right="1572"/>
              <w:jc w:val="center"/>
              <w:rPr>
                <w:b/>
                <w:sz w:val="16"/>
              </w:rPr>
            </w:pPr>
            <w:r>
              <w:rPr>
                <w:b/>
                <w:sz w:val="16"/>
              </w:rPr>
              <w:t>Table 13.1 Natural abundance of the stable isotopes of selected elements</w:t>
            </w:r>
          </w:p>
        </w:tc>
      </w:tr>
      <w:tr>
        <w:trPr>
          <w:trHeight w:val="422" w:hRule="atLeast"/>
        </w:trPr>
        <w:tc>
          <w:tcPr>
            <w:tcW w:w="1159" w:type="dxa"/>
          </w:tcPr>
          <w:p>
            <w:pPr>
              <w:pStyle w:val="TableParagraph"/>
              <w:spacing w:line="275" w:lineRule="exact"/>
              <w:ind w:left="186" w:right="176"/>
              <w:jc w:val="center"/>
              <w:rPr>
                <w:b/>
                <w:sz w:val="24"/>
              </w:rPr>
            </w:pPr>
            <w:r>
              <w:rPr>
                <w:b/>
                <w:sz w:val="24"/>
              </w:rPr>
              <w:t>Isotope</w:t>
            </w:r>
          </w:p>
        </w:tc>
        <w:tc>
          <w:tcPr>
            <w:tcW w:w="2611" w:type="dxa"/>
          </w:tcPr>
          <w:p>
            <w:pPr>
              <w:pStyle w:val="TableParagraph"/>
              <w:spacing w:line="275" w:lineRule="exact"/>
              <w:ind w:left="273" w:right="267"/>
              <w:jc w:val="center"/>
              <w:rPr>
                <w:b/>
                <w:sz w:val="24"/>
              </w:rPr>
            </w:pPr>
            <w:r>
              <w:rPr>
                <w:b/>
                <w:sz w:val="24"/>
              </w:rPr>
              <w:t>Relative abundance</w:t>
            </w:r>
          </w:p>
        </w:tc>
        <w:tc>
          <w:tcPr>
            <w:tcW w:w="1908" w:type="dxa"/>
          </w:tcPr>
          <w:p>
            <w:pPr>
              <w:pStyle w:val="TableParagraph"/>
              <w:spacing w:line="275" w:lineRule="exact"/>
              <w:ind w:left="353" w:right="351"/>
              <w:jc w:val="center"/>
              <w:rPr>
                <w:b/>
                <w:sz w:val="24"/>
              </w:rPr>
            </w:pPr>
            <w:r>
              <w:rPr>
                <w:b/>
                <w:sz w:val="24"/>
              </w:rPr>
              <w:t>Exact mass</w:t>
            </w:r>
          </w:p>
        </w:tc>
        <w:tc>
          <w:tcPr>
            <w:tcW w:w="2426" w:type="dxa"/>
          </w:tcPr>
          <w:p>
            <w:pPr>
              <w:pStyle w:val="TableParagraph"/>
              <w:spacing w:line="275" w:lineRule="exact"/>
              <w:ind w:left="468" w:right="460"/>
              <w:jc w:val="center"/>
              <w:rPr>
                <w:b/>
                <w:sz w:val="24"/>
              </w:rPr>
            </w:pPr>
            <w:r>
              <w:rPr>
                <w:b/>
                <w:sz w:val="24"/>
              </w:rPr>
              <w:t>Nominal mass</w:t>
            </w:r>
          </w:p>
        </w:tc>
      </w:tr>
      <w:tr>
        <w:trPr>
          <w:trHeight w:val="422" w:hRule="atLeast"/>
        </w:trPr>
        <w:tc>
          <w:tcPr>
            <w:tcW w:w="1159" w:type="dxa"/>
          </w:tcPr>
          <w:p>
            <w:pPr>
              <w:pStyle w:val="TableParagraph"/>
              <w:spacing w:line="115" w:lineRule="auto" w:before="17"/>
              <w:ind w:left="183" w:right="176"/>
              <w:jc w:val="center"/>
              <w:rPr>
                <w:sz w:val="24"/>
              </w:rPr>
            </w:pPr>
            <w:r>
              <w:rPr>
                <w:sz w:val="16"/>
              </w:rPr>
              <w:t>1</w:t>
            </w:r>
            <w:r>
              <w:rPr>
                <w:position w:val="-10"/>
                <w:sz w:val="24"/>
              </w:rPr>
              <w:t>H</w:t>
            </w:r>
          </w:p>
        </w:tc>
        <w:tc>
          <w:tcPr>
            <w:tcW w:w="2611" w:type="dxa"/>
          </w:tcPr>
          <w:p>
            <w:pPr>
              <w:pStyle w:val="TableParagraph"/>
              <w:ind w:left="273" w:right="266"/>
              <w:jc w:val="center"/>
              <w:rPr>
                <w:sz w:val="24"/>
              </w:rPr>
            </w:pPr>
            <w:r>
              <w:rPr>
                <w:sz w:val="24"/>
              </w:rPr>
              <w:t>99.985</w:t>
            </w:r>
          </w:p>
        </w:tc>
        <w:tc>
          <w:tcPr>
            <w:tcW w:w="1908" w:type="dxa"/>
          </w:tcPr>
          <w:p>
            <w:pPr>
              <w:pStyle w:val="TableParagraph"/>
              <w:ind w:left="353" w:right="348"/>
              <w:jc w:val="center"/>
              <w:rPr>
                <w:sz w:val="24"/>
              </w:rPr>
            </w:pPr>
            <w:r>
              <w:rPr>
                <w:sz w:val="24"/>
              </w:rPr>
              <w:t>1.0079</w:t>
            </w:r>
          </w:p>
        </w:tc>
        <w:tc>
          <w:tcPr>
            <w:tcW w:w="2426" w:type="dxa"/>
          </w:tcPr>
          <w:p>
            <w:pPr>
              <w:pStyle w:val="TableParagraph"/>
              <w:ind w:left="8"/>
              <w:jc w:val="center"/>
              <w:rPr>
                <w:sz w:val="24"/>
              </w:rPr>
            </w:pPr>
            <w:r>
              <w:rPr>
                <w:sz w:val="24"/>
              </w:rPr>
              <w:t>1</w:t>
            </w:r>
          </w:p>
        </w:tc>
      </w:tr>
      <w:tr>
        <w:trPr>
          <w:trHeight w:val="421" w:hRule="atLeast"/>
        </w:trPr>
        <w:tc>
          <w:tcPr>
            <w:tcW w:w="1159" w:type="dxa"/>
          </w:tcPr>
          <w:p>
            <w:pPr>
              <w:pStyle w:val="TableParagraph"/>
              <w:ind w:left="186" w:right="176"/>
              <w:jc w:val="center"/>
              <w:rPr>
                <w:sz w:val="24"/>
              </w:rPr>
            </w:pPr>
            <w:r>
              <w:rPr>
                <w:sz w:val="24"/>
                <w:vertAlign w:val="superscript"/>
              </w:rPr>
              <w:t>2</w:t>
            </w:r>
            <w:r>
              <w:rPr>
                <w:sz w:val="24"/>
                <w:vertAlign w:val="baseline"/>
              </w:rPr>
              <w:t>H (D)</w:t>
            </w:r>
          </w:p>
        </w:tc>
        <w:tc>
          <w:tcPr>
            <w:tcW w:w="2611" w:type="dxa"/>
          </w:tcPr>
          <w:p>
            <w:pPr>
              <w:pStyle w:val="TableParagraph"/>
              <w:ind w:left="273" w:right="266"/>
              <w:jc w:val="center"/>
              <w:rPr>
                <w:sz w:val="24"/>
              </w:rPr>
            </w:pPr>
            <w:r>
              <w:rPr>
                <w:sz w:val="24"/>
              </w:rPr>
              <w:t>0.015</w:t>
            </w:r>
          </w:p>
        </w:tc>
        <w:tc>
          <w:tcPr>
            <w:tcW w:w="1908" w:type="dxa"/>
          </w:tcPr>
          <w:p>
            <w:pPr>
              <w:pStyle w:val="TableParagraph"/>
              <w:ind w:left="353" w:right="348"/>
              <w:jc w:val="center"/>
              <w:rPr>
                <w:sz w:val="24"/>
              </w:rPr>
            </w:pPr>
            <w:r>
              <w:rPr>
                <w:sz w:val="24"/>
              </w:rPr>
              <w:t>2.0140</w:t>
            </w:r>
          </w:p>
        </w:tc>
        <w:tc>
          <w:tcPr>
            <w:tcW w:w="2426" w:type="dxa"/>
          </w:tcPr>
          <w:p>
            <w:pPr>
              <w:pStyle w:val="TableParagraph"/>
              <w:ind w:left="8"/>
              <w:jc w:val="center"/>
              <w:rPr>
                <w:sz w:val="24"/>
              </w:rPr>
            </w:pPr>
            <w:r>
              <w:rPr>
                <w:sz w:val="24"/>
              </w:rPr>
              <w:t>2</w:t>
            </w:r>
          </w:p>
        </w:tc>
      </w:tr>
      <w:tr>
        <w:trPr>
          <w:trHeight w:val="422" w:hRule="atLeast"/>
        </w:trPr>
        <w:tc>
          <w:tcPr>
            <w:tcW w:w="1159" w:type="dxa"/>
          </w:tcPr>
          <w:p>
            <w:pPr>
              <w:pStyle w:val="TableParagraph"/>
              <w:spacing w:line="115" w:lineRule="auto" w:before="17"/>
              <w:ind w:left="186" w:right="175"/>
              <w:jc w:val="center"/>
              <w:rPr>
                <w:sz w:val="24"/>
              </w:rPr>
            </w:pPr>
            <w:r>
              <w:rPr>
                <w:sz w:val="16"/>
              </w:rPr>
              <w:t>12</w:t>
            </w:r>
            <w:r>
              <w:rPr>
                <w:position w:val="-10"/>
                <w:sz w:val="24"/>
              </w:rPr>
              <w:t>C</w:t>
            </w:r>
          </w:p>
        </w:tc>
        <w:tc>
          <w:tcPr>
            <w:tcW w:w="2611" w:type="dxa"/>
          </w:tcPr>
          <w:p>
            <w:pPr>
              <w:pStyle w:val="TableParagraph"/>
              <w:ind w:left="273" w:right="266"/>
              <w:jc w:val="center"/>
              <w:rPr>
                <w:sz w:val="24"/>
              </w:rPr>
            </w:pPr>
            <w:r>
              <w:rPr>
                <w:sz w:val="24"/>
              </w:rPr>
              <w:t>98.90</w:t>
            </w:r>
          </w:p>
        </w:tc>
        <w:tc>
          <w:tcPr>
            <w:tcW w:w="1908" w:type="dxa"/>
          </w:tcPr>
          <w:p>
            <w:pPr>
              <w:pStyle w:val="TableParagraph"/>
              <w:ind w:left="353" w:right="348"/>
              <w:jc w:val="center"/>
              <w:rPr>
                <w:sz w:val="24"/>
              </w:rPr>
            </w:pPr>
            <w:r>
              <w:rPr>
                <w:sz w:val="24"/>
              </w:rPr>
              <w:t>12.000</w:t>
            </w:r>
          </w:p>
        </w:tc>
        <w:tc>
          <w:tcPr>
            <w:tcW w:w="2426" w:type="dxa"/>
          </w:tcPr>
          <w:p>
            <w:pPr>
              <w:pStyle w:val="TableParagraph"/>
              <w:ind w:left="468" w:right="460"/>
              <w:jc w:val="center"/>
              <w:rPr>
                <w:sz w:val="24"/>
              </w:rPr>
            </w:pPr>
            <w:r>
              <w:rPr>
                <w:sz w:val="24"/>
              </w:rPr>
              <w:t>12</w:t>
            </w:r>
          </w:p>
        </w:tc>
      </w:tr>
      <w:tr>
        <w:trPr>
          <w:trHeight w:val="421" w:hRule="atLeast"/>
        </w:trPr>
        <w:tc>
          <w:tcPr>
            <w:tcW w:w="1159" w:type="dxa"/>
          </w:tcPr>
          <w:p>
            <w:pPr>
              <w:pStyle w:val="TableParagraph"/>
              <w:spacing w:line="115" w:lineRule="auto" w:before="17"/>
              <w:ind w:left="186" w:right="175"/>
              <w:jc w:val="center"/>
              <w:rPr>
                <w:sz w:val="24"/>
              </w:rPr>
            </w:pPr>
            <w:r>
              <w:rPr>
                <w:sz w:val="16"/>
              </w:rPr>
              <w:t>13</w:t>
            </w:r>
            <w:r>
              <w:rPr>
                <w:position w:val="-10"/>
                <w:sz w:val="24"/>
              </w:rPr>
              <w:t>C</w:t>
            </w:r>
          </w:p>
        </w:tc>
        <w:tc>
          <w:tcPr>
            <w:tcW w:w="2611" w:type="dxa"/>
          </w:tcPr>
          <w:p>
            <w:pPr>
              <w:pStyle w:val="TableParagraph"/>
              <w:ind w:left="273" w:right="266"/>
              <w:jc w:val="center"/>
              <w:rPr>
                <w:sz w:val="24"/>
              </w:rPr>
            </w:pPr>
            <w:r>
              <w:rPr>
                <w:sz w:val="24"/>
              </w:rPr>
              <w:t>1.10</w:t>
            </w:r>
          </w:p>
        </w:tc>
        <w:tc>
          <w:tcPr>
            <w:tcW w:w="1908" w:type="dxa"/>
          </w:tcPr>
          <w:p>
            <w:pPr>
              <w:pStyle w:val="TableParagraph"/>
              <w:ind w:left="353" w:right="348"/>
              <w:jc w:val="center"/>
              <w:rPr>
                <w:sz w:val="24"/>
              </w:rPr>
            </w:pPr>
            <w:r>
              <w:rPr>
                <w:sz w:val="24"/>
              </w:rPr>
              <w:t>13.003</w:t>
            </w:r>
          </w:p>
        </w:tc>
        <w:tc>
          <w:tcPr>
            <w:tcW w:w="2426" w:type="dxa"/>
          </w:tcPr>
          <w:p>
            <w:pPr>
              <w:pStyle w:val="TableParagraph"/>
              <w:ind w:left="468" w:right="460"/>
              <w:jc w:val="center"/>
              <w:rPr>
                <w:sz w:val="24"/>
              </w:rPr>
            </w:pPr>
            <w:r>
              <w:rPr>
                <w:sz w:val="24"/>
              </w:rPr>
              <w:t>13</w:t>
            </w:r>
          </w:p>
        </w:tc>
      </w:tr>
      <w:tr>
        <w:trPr>
          <w:trHeight w:val="422" w:hRule="atLeast"/>
        </w:trPr>
        <w:tc>
          <w:tcPr>
            <w:tcW w:w="1159" w:type="dxa"/>
          </w:tcPr>
          <w:p>
            <w:pPr>
              <w:pStyle w:val="TableParagraph"/>
              <w:spacing w:line="115" w:lineRule="auto" w:before="17"/>
              <w:ind w:left="186" w:right="174"/>
              <w:jc w:val="center"/>
              <w:rPr>
                <w:sz w:val="24"/>
              </w:rPr>
            </w:pPr>
            <w:r>
              <w:rPr>
                <w:sz w:val="16"/>
              </w:rPr>
              <w:t>14</w:t>
            </w:r>
            <w:r>
              <w:rPr>
                <w:position w:val="-10"/>
                <w:sz w:val="24"/>
              </w:rPr>
              <w:t>N</w:t>
            </w:r>
          </w:p>
        </w:tc>
        <w:tc>
          <w:tcPr>
            <w:tcW w:w="2611" w:type="dxa"/>
          </w:tcPr>
          <w:p>
            <w:pPr>
              <w:pStyle w:val="TableParagraph"/>
              <w:ind w:left="273" w:right="266"/>
              <w:jc w:val="center"/>
              <w:rPr>
                <w:sz w:val="24"/>
              </w:rPr>
            </w:pPr>
            <w:r>
              <w:rPr>
                <w:sz w:val="24"/>
              </w:rPr>
              <w:t>99.63</w:t>
            </w:r>
          </w:p>
        </w:tc>
        <w:tc>
          <w:tcPr>
            <w:tcW w:w="1908" w:type="dxa"/>
          </w:tcPr>
          <w:p>
            <w:pPr>
              <w:pStyle w:val="TableParagraph"/>
              <w:ind w:left="353" w:right="348"/>
              <w:jc w:val="center"/>
              <w:rPr>
                <w:sz w:val="24"/>
              </w:rPr>
            </w:pPr>
            <w:r>
              <w:rPr>
                <w:sz w:val="24"/>
              </w:rPr>
              <w:t>14.003</w:t>
            </w:r>
          </w:p>
        </w:tc>
        <w:tc>
          <w:tcPr>
            <w:tcW w:w="2426" w:type="dxa"/>
          </w:tcPr>
          <w:p>
            <w:pPr>
              <w:pStyle w:val="TableParagraph"/>
              <w:ind w:left="468" w:right="460"/>
              <w:jc w:val="center"/>
              <w:rPr>
                <w:sz w:val="24"/>
              </w:rPr>
            </w:pPr>
            <w:r>
              <w:rPr>
                <w:sz w:val="24"/>
              </w:rPr>
              <w:t>14</w:t>
            </w:r>
          </w:p>
        </w:tc>
      </w:tr>
      <w:tr>
        <w:trPr>
          <w:trHeight w:val="421" w:hRule="atLeast"/>
        </w:trPr>
        <w:tc>
          <w:tcPr>
            <w:tcW w:w="1159" w:type="dxa"/>
          </w:tcPr>
          <w:p>
            <w:pPr>
              <w:pStyle w:val="TableParagraph"/>
              <w:spacing w:line="115" w:lineRule="auto" w:before="17"/>
              <w:ind w:left="186" w:right="174"/>
              <w:jc w:val="center"/>
              <w:rPr>
                <w:sz w:val="24"/>
              </w:rPr>
            </w:pPr>
            <w:r>
              <w:rPr>
                <w:sz w:val="16"/>
              </w:rPr>
              <w:t>15</w:t>
            </w:r>
            <w:r>
              <w:rPr>
                <w:position w:val="-10"/>
                <w:sz w:val="24"/>
              </w:rPr>
              <w:t>N</w:t>
            </w:r>
          </w:p>
        </w:tc>
        <w:tc>
          <w:tcPr>
            <w:tcW w:w="2611" w:type="dxa"/>
          </w:tcPr>
          <w:p>
            <w:pPr>
              <w:pStyle w:val="TableParagraph"/>
              <w:ind w:left="273" w:right="266"/>
              <w:jc w:val="center"/>
              <w:rPr>
                <w:sz w:val="24"/>
              </w:rPr>
            </w:pPr>
            <w:r>
              <w:rPr>
                <w:sz w:val="24"/>
              </w:rPr>
              <w:t>0.37</w:t>
            </w:r>
          </w:p>
        </w:tc>
        <w:tc>
          <w:tcPr>
            <w:tcW w:w="1908" w:type="dxa"/>
          </w:tcPr>
          <w:p>
            <w:pPr>
              <w:pStyle w:val="TableParagraph"/>
              <w:ind w:left="353" w:right="348"/>
              <w:jc w:val="center"/>
              <w:rPr>
                <w:sz w:val="24"/>
              </w:rPr>
            </w:pPr>
            <w:r>
              <w:rPr>
                <w:sz w:val="24"/>
              </w:rPr>
              <w:t>15.000</w:t>
            </w:r>
          </w:p>
        </w:tc>
        <w:tc>
          <w:tcPr>
            <w:tcW w:w="2426" w:type="dxa"/>
          </w:tcPr>
          <w:p>
            <w:pPr>
              <w:pStyle w:val="TableParagraph"/>
              <w:ind w:left="468" w:right="460"/>
              <w:jc w:val="center"/>
              <w:rPr>
                <w:sz w:val="24"/>
              </w:rPr>
            </w:pPr>
            <w:r>
              <w:rPr>
                <w:sz w:val="24"/>
              </w:rPr>
              <w:t>15</w:t>
            </w:r>
          </w:p>
        </w:tc>
      </w:tr>
      <w:tr>
        <w:trPr>
          <w:trHeight w:val="421" w:hRule="atLeast"/>
        </w:trPr>
        <w:tc>
          <w:tcPr>
            <w:tcW w:w="1159" w:type="dxa"/>
          </w:tcPr>
          <w:p>
            <w:pPr>
              <w:pStyle w:val="TableParagraph"/>
              <w:spacing w:line="115" w:lineRule="auto" w:before="17"/>
              <w:ind w:left="186" w:right="174"/>
              <w:jc w:val="center"/>
              <w:rPr>
                <w:sz w:val="24"/>
              </w:rPr>
            </w:pPr>
            <w:r>
              <w:rPr>
                <w:sz w:val="16"/>
              </w:rPr>
              <w:t>16</w:t>
            </w:r>
            <w:r>
              <w:rPr>
                <w:position w:val="-10"/>
                <w:sz w:val="24"/>
              </w:rPr>
              <w:t>O</w:t>
            </w:r>
          </w:p>
        </w:tc>
        <w:tc>
          <w:tcPr>
            <w:tcW w:w="2611" w:type="dxa"/>
          </w:tcPr>
          <w:p>
            <w:pPr>
              <w:pStyle w:val="TableParagraph"/>
              <w:ind w:left="273" w:right="266"/>
              <w:jc w:val="center"/>
              <w:rPr>
                <w:sz w:val="24"/>
              </w:rPr>
            </w:pPr>
            <w:r>
              <w:rPr>
                <w:sz w:val="24"/>
              </w:rPr>
              <w:t>99.76</w:t>
            </w:r>
          </w:p>
        </w:tc>
        <w:tc>
          <w:tcPr>
            <w:tcW w:w="1908" w:type="dxa"/>
          </w:tcPr>
          <w:p>
            <w:pPr>
              <w:pStyle w:val="TableParagraph"/>
              <w:ind w:left="353" w:right="348"/>
              <w:jc w:val="center"/>
              <w:rPr>
                <w:sz w:val="24"/>
              </w:rPr>
            </w:pPr>
            <w:r>
              <w:rPr>
                <w:sz w:val="24"/>
              </w:rPr>
              <w:t>15.995</w:t>
            </w:r>
          </w:p>
        </w:tc>
        <w:tc>
          <w:tcPr>
            <w:tcW w:w="2426" w:type="dxa"/>
          </w:tcPr>
          <w:p>
            <w:pPr>
              <w:pStyle w:val="TableParagraph"/>
              <w:ind w:left="468" w:right="460"/>
              <w:jc w:val="center"/>
              <w:rPr>
                <w:sz w:val="24"/>
              </w:rPr>
            </w:pPr>
            <w:r>
              <w:rPr>
                <w:sz w:val="24"/>
              </w:rPr>
              <w:t>16</w:t>
            </w:r>
          </w:p>
        </w:tc>
      </w:tr>
      <w:tr>
        <w:trPr>
          <w:trHeight w:val="422" w:hRule="atLeast"/>
        </w:trPr>
        <w:tc>
          <w:tcPr>
            <w:tcW w:w="1159" w:type="dxa"/>
          </w:tcPr>
          <w:p>
            <w:pPr>
              <w:pStyle w:val="TableParagraph"/>
              <w:spacing w:line="115" w:lineRule="auto" w:before="17"/>
              <w:ind w:left="186" w:right="174"/>
              <w:jc w:val="center"/>
              <w:rPr>
                <w:sz w:val="24"/>
              </w:rPr>
            </w:pPr>
            <w:r>
              <w:rPr>
                <w:sz w:val="16"/>
              </w:rPr>
              <w:t>17</w:t>
            </w:r>
            <w:r>
              <w:rPr>
                <w:position w:val="-10"/>
                <w:sz w:val="24"/>
              </w:rPr>
              <w:t>O</w:t>
            </w:r>
          </w:p>
        </w:tc>
        <w:tc>
          <w:tcPr>
            <w:tcW w:w="2611" w:type="dxa"/>
          </w:tcPr>
          <w:p>
            <w:pPr>
              <w:pStyle w:val="TableParagraph"/>
              <w:ind w:left="273" w:right="266"/>
              <w:jc w:val="center"/>
              <w:rPr>
                <w:sz w:val="24"/>
              </w:rPr>
            </w:pPr>
            <w:r>
              <w:rPr>
                <w:sz w:val="24"/>
              </w:rPr>
              <w:t>0.04</w:t>
            </w:r>
          </w:p>
        </w:tc>
        <w:tc>
          <w:tcPr>
            <w:tcW w:w="1908" w:type="dxa"/>
          </w:tcPr>
          <w:p>
            <w:pPr>
              <w:pStyle w:val="TableParagraph"/>
              <w:ind w:left="353" w:right="348"/>
              <w:jc w:val="center"/>
              <w:rPr>
                <w:sz w:val="24"/>
              </w:rPr>
            </w:pPr>
            <w:r>
              <w:rPr>
                <w:sz w:val="24"/>
              </w:rPr>
              <w:t>16.999</w:t>
            </w:r>
          </w:p>
        </w:tc>
        <w:tc>
          <w:tcPr>
            <w:tcW w:w="2426" w:type="dxa"/>
          </w:tcPr>
          <w:p>
            <w:pPr>
              <w:pStyle w:val="TableParagraph"/>
              <w:ind w:left="468" w:right="460"/>
              <w:jc w:val="center"/>
              <w:rPr>
                <w:sz w:val="24"/>
              </w:rPr>
            </w:pPr>
            <w:r>
              <w:rPr>
                <w:sz w:val="24"/>
              </w:rPr>
              <w:t>17</w:t>
            </w:r>
          </w:p>
        </w:tc>
      </w:tr>
      <w:tr>
        <w:trPr>
          <w:trHeight w:val="421" w:hRule="atLeast"/>
        </w:trPr>
        <w:tc>
          <w:tcPr>
            <w:tcW w:w="1159" w:type="dxa"/>
          </w:tcPr>
          <w:p>
            <w:pPr>
              <w:pStyle w:val="TableParagraph"/>
              <w:spacing w:line="115" w:lineRule="auto" w:before="17"/>
              <w:ind w:left="186" w:right="174"/>
              <w:jc w:val="center"/>
              <w:rPr>
                <w:sz w:val="24"/>
              </w:rPr>
            </w:pPr>
            <w:r>
              <w:rPr>
                <w:sz w:val="16"/>
              </w:rPr>
              <w:t>18</w:t>
            </w:r>
            <w:r>
              <w:rPr>
                <w:position w:val="-10"/>
                <w:sz w:val="24"/>
              </w:rPr>
              <w:t>O</w:t>
            </w:r>
          </w:p>
        </w:tc>
        <w:tc>
          <w:tcPr>
            <w:tcW w:w="2611" w:type="dxa"/>
          </w:tcPr>
          <w:p>
            <w:pPr>
              <w:pStyle w:val="TableParagraph"/>
              <w:ind w:left="273" w:right="266"/>
              <w:jc w:val="center"/>
              <w:rPr>
                <w:sz w:val="24"/>
              </w:rPr>
            </w:pPr>
            <w:r>
              <w:rPr>
                <w:sz w:val="24"/>
              </w:rPr>
              <w:t>0.20</w:t>
            </w:r>
          </w:p>
        </w:tc>
        <w:tc>
          <w:tcPr>
            <w:tcW w:w="1908" w:type="dxa"/>
          </w:tcPr>
          <w:p>
            <w:pPr>
              <w:pStyle w:val="TableParagraph"/>
              <w:ind w:left="353" w:right="348"/>
              <w:jc w:val="center"/>
              <w:rPr>
                <w:sz w:val="24"/>
              </w:rPr>
            </w:pPr>
            <w:r>
              <w:rPr>
                <w:sz w:val="24"/>
              </w:rPr>
              <w:t>17.999</w:t>
            </w:r>
          </w:p>
        </w:tc>
        <w:tc>
          <w:tcPr>
            <w:tcW w:w="2426" w:type="dxa"/>
          </w:tcPr>
          <w:p>
            <w:pPr>
              <w:pStyle w:val="TableParagraph"/>
              <w:ind w:left="468" w:right="460"/>
              <w:jc w:val="center"/>
              <w:rPr>
                <w:sz w:val="24"/>
              </w:rPr>
            </w:pPr>
            <w:r>
              <w:rPr>
                <w:sz w:val="24"/>
              </w:rPr>
              <w:t>18</w:t>
            </w:r>
          </w:p>
        </w:tc>
      </w:tr>
    </w:tbl>
    <w:p>
      <w:pPr>
        <w:spacing w:after="0"/>
        <w:jc w:val="center"/>
        <w:rPr>
          <w:sz w:val="24"/>
        </w:rPr>
        <w:sectPr>
          <w:pgSz w:w="11910" w:h="16840"/>
          <w:pgMar w:header="722" w:footer="748" w:top="1300" w:bottom="940" w:left="1500" w:right="1480"/>
        </w:sectPr>
      </w:pPr>
    </w:p>
    <w:p>
      <w:pPr>
        <w:pStyle w:val="BodyText"/>
        <w:spacing w:line="360" w:lineRule="auto" w:before="119"/>
        <w:ind w:left="300" w:right="316"/>
        <w:jc w:val="both"/>
      </w:pPr>
      <w:r>
        <w:rPr/>
        <w:t>The nominal and average molecular masses of, say methane are 16 Da and 16.0428 Da, respectively. A mass spectrometer, however, detects the exact masses of the ions.</w:t>
      </w:r>
    </w:p>
    <w:p>
      <w:pPr>
        <w:pStyle w:val="BodyText"/>
        <w:spacing w:line="360" w:lineRule="auto" w:before="200"/>
        <w:ind w:left="300" w:right="316"/>
        <w:jc w:val="both"/>
      </w:pPr>
      <w:r>
        <w:rPr>
          <w:i/>
        </w:rPr>
        <w:t>Isotopic abundances: </w:t>
      </w:r>
      <w:r>
        <w:rPr/>
        <w:t>Isotopic abundances are reflected in the high resolution mass spectra of the compounds and allow easy identification of small organic compounds. Let us take an example of methane. The different possible isotopologues of methane are listed in table 13.2 along with their natural abundances.</w:t>
      </w:r>
    </w:p>
    <w:p>
      <w:pPr>
        <w:pStyle w:val="BodyText"/>
        <w:rPr>
          <w:sz w:val="18"/>
        </w:rPr>
      </w:pPr>
    </w:p>
    <w:tbl>
      <w:tblPr>
        <w:tblW w:w="0" w:type="auto"/>
        <w:jc w:val="left"/>
        <w:tblInd w:w="7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524"/>
        <w:gridCol w:w="5856"/>
      </w:tblGrid>
      <w:tr>
        <w:trPr>
          <w:trHeight w:val="474" w:hRule="atLeast"/>
        </w:trPr>
        <w:tc>
          <w:tcPr>
            <w:tcW w:w="7380" w:type="dxa"/>
            <w:gridSpan w:val="2"/>
          </w:tcPr>
          <w:p>
            <w:pPr>
              <w:pStyle w:val="TableParagraph"/>
              <w:spacing w:line="183" w:lineRule="exact"/>
              <w:ind w:left="2425" w:right="2420"/>
              <w:jc w:val="center"/>
              <w:rPr>
                <w:b/>
                <w:sz w:val="16"/>
              </w:rPr>
            </w:pPr>
            <w:r>
              <w:rPr>
                <w:b/>
                <w:sz w:val="16"/>
              </w:rPr>
              <w:t>Table 13.2 Isotopologues of methane</w:t>
            </w:r>
          </w:p>
        </w:tc>
      </w:tr>
      <w:tr>
        <w:trPr>
          <w:trHeight w:val="614" w:hRule="atLeast"/>
        </w:trPr>
        <w:tc>
          <w:tcPr>
            <w:tcW w:w="1524" w:type="dxa"/>
          </w:tcPr>
          <w:p>
            <w:pPr>
              <w:pStyle w:val="TableParagraph"/>
              <w:spacing w:line="275" w:lineRule="exact"/>
              <w:rPr>
                <w:b/>
                <w:sz w:val="24"/>
              </w:rPr>
            </w:pPr>
            <w:r>
              <w:rPr>
                <w:b/>
                <w:sz w:val="24"/>
              </w:rPr>
              <w:t>Isotopologue</w:t>
            </w:r>
          </w:p>
        </w:tc>
        <w:tc>
          <w:tcPr>
            <w:tcW w:w="5856" w:type="dxa"/>
          </w:tcPr>
          <w:p>
            <w:pPr>
              <w:pStyle w:val="TableParagraph"/>
              <w:spacing w:line="275" w:lineRule="exact"/>
              <w:ind w:left="1867"/>
              <w:rPr>
                <w:b/>
                <w:sz w:val="24"/>
              </w:rPr>
            </w:pPr>
            <w:r>
              <w:rPr>
                <w:b/>
                <w:sz w:val="24"/>
              </w:rPr>
              <w:t>Relative abundances</w:t>
            </w:r>
          </w:p>
        </w:tc>
      </w:tr>
      <w:tr>
        <w:trPr>
          <w:trHeight w:val="854" w:hRule="atLeast"/>
        </w:trPr>
        <w:tc>
          <w:tcPr>
            <w:tcW w:w="1524" w:type="dxa"/>
          </w:tcPr>
          <w:p>
            <w:pPr>
              <w:pStyle w:val="TableParagraph"/>
              <w:spacing w:line="115" w:lineRule="auto" w:before="11"/>
              <w:rPr>
                <w:sz w:val="16"/>
              </w:rPr>
            </w:pPr>
            <w:r>
              <w:rPr>
                <w:sz w:val="16"/>
              </w:rPr>
              <w:t>12</w:t>
            </w:r>
            <w:r>
              <w:rPr>
                <w:position w:val="-10"/>
                <w:sz w:val="24"/>
              </w:rPr>
              <w:t>CH</w:t>
            </w:r>
            <w:r>
              <w:rPr>
                <w:position w:val="-13"/>
                <w:sz w:val="16"/>
              </w:rPr>
              <w:t>4</w:t>
            </w:r>
          </w:p>
        </w:tc>
        <w:tc>
          <w:tcPr>
            <w:tcW w:w="5856" w:type="dxa"/>
          </w:tcPr>
          <w:p>
            <w:pPr>
              <w:pStyle w:val="TableParagraph"/>
              <w:ind w:left="105"/>
              <w:rPr>
                <w:sz w:val="24"/>
              </w:rPr>
            </w:pPr>
            <w:r>
              <w:rPr>
                <w:sz w:val="24"/>
              </w:rPr>
              <w:t>= 0.989 × 0.99985 × 0.99985 × 0.99985 × 0.99985</w:t>
            </w:r>
          </w:p>
          <w:p>
            <w:pPr>
              <w:pStyle w:val="TableParagraph"/>
              <w:spacing w:line="240" w:lineRule="auto" w:before="144"/>
              <w:ind w:left="105"/>
              <w:rPr>
                <w:rFonts w:ascii="Carlito"/>
                <w:b/>
                <w:sz w:val="24"/>
              </w:rPr>
            </w:pPr>
            <w:r>
              <w:rPr>
                <w:sz w:val="24"/>
              </w:rPr>
              <w:t>= </w:t>
            </w:r>
            <w:r>
              <w:rPr>
                <w:rFonts w:ascii="Carlito"/>
                <w:sz w:val="24"/>
              </w:rPr>
              <w:t>0.9884 = </w:t>
            </w:r>
            <w:r>
              <w:rPr>
                <w:rFonts w:ascii="Carlito"/>
                <w:b/>
                <w:sz w:val="24"/>
              </w:rPr>
              <w:t>98.84 %</w:t>
            </w:r>
          </w:p>
        </w:tc>
      </w:tr>
      <w:tr>
        <w:trPr>
          <w:trHeight w:val="853" w:hRule="atLeast"/>
        </w:trPr>
        <w:tc>
          <w:tcPr>
            <w:tcW w:w="1524" w:type="dxa"/>
          </w:tcPr>
          <w:p>
            <w:pPr>
              <w:pStyle w:val="TableParagraph"/>
              <w:rPr>
                <w:sz w:val="24"/>
              </w:rPr>
            </w:pPr>
            <w:r>
              <w:rPr>
                <w:sz w:val="24"/>
                <w:vertAlign w:val="superscript"/>
              </w:rPr>
              <w:t>12</w:t>
            </w:r>
            <w:r>
              <w:rPr>
                <w:sz w:val="24"/>
                <w:vertAlign w:val="baseline"/>
              </w:rPr>
              <w:t>CH</w:t>
            </w:r>
            <w:r>
              <w:rPr>
                <w:sz w:val="24"/>
                <w:vertAlign w:val="subscript"/>
              </w:rPr>
              <w:t>3</w:t>
            </w:r>
            <w:r>
              <w:rPr>
                <w:sz w:val="24"/>
                <w:vertAlign w:val="baseline"/>
              </w:rPr>
              <w:t>D</w:t>
            </w:r>
          </w:p>
        </w:tc>
        <w:tc>
          <w:tcPr>
            <w:tcW w:w="5856" w:type="dxa"/>
          </w:tcPr>
          <w:p>
            <w:pPr>
              <w:pStyle w:val="TableParagraph"/>
              <w:ind w:left="105"/>
              <w:rPr>
                <w:sz w:val="24"/>
              </w:rPr>
            </w:pPr>
            <w:r>
              <w:rPr>
                <w:sz w:val="24"/>
              </w:rPr>
              <w:t>= 0.989 × 0.99985 × 0.99985 × 0.99985 × 0.00015</w:t>
            </w:r>
          </w:p>
          <w:p>
            <w:pPr>
              <w:pStyle w:val="TableParagraph"/>
              <w:spacing w:line="240" w:lineRule="auto" w:before="142"/>
              <w:ind w:left="105"/>
              <w:rPr>
                <w:rFonts w:ascii="Carlito"/>
                <w:b/>
                <w:sz w:val="24"/>
              </w:rPr>
            </w:pPr>
            <w:r>
              <w:rPr>
                <w:rFonts w:ascii="Carlito"/>
                <w:sz w:val="24"/>
              </w:rPr>
              <w:t>= 1.483 x 10</w:t>
            </w:r>
            <w:r>
              <w:rPr>
                <w:rFonts w:ascii="Carlito"/>
                <w:sz w:val="24"/>
                <w:vertAlign w:val="superscript"/>
              </w:rPr>
              <w:t>-4</w:t>
            </w:r>
            <w:r>
              <w:rPr>
                <w:rFonts w:ascii="Carlito"/>
                <w:sz w:val="24"/>
                <w:vertAlign w:val="baseline"/>
              </w:rPr>
              <w:t> = </w:t>
            </w:r>
            <w:r>
              <w:rPr>
                <w:rFonts w:ascii="Carlito"/>
                <w:b/>
                <w:sz w:val="24"/>
                <w:vertAlign w:val="baseline"/>
              </w:rPr>
              <w:t>1.483 x 10</w:t>
            </w:r>
            <w:r>
              <w:rPr>
                <w:rFonts w:ascii="Carlito"/>
                <w:b/>
                <w:sz w:val="24"/>
                <w:vertAlign w:val="superscript"/>
              </w:rPr>
              <w:t>-2</w:t>
            </w:r>
            <w:r>
              <w:rPr>
                <w:rFonts w:ascii="Carlito"/>
                <w:b/>
                <w:sz w:val="24"/>
                <w:vertAlign w:val="baseline"/>
              </w:rPr>
              <w:t> %</w:t>
            </w:r>
          </w:p>
        </w:tc>
      </w:tr>
      <w:tr>
        <w:trPr>
          <w:trHeight w:val="851" w:hRule="atLeast"/>
        </w:trPr>
        <w:tc>
          <w:tcPr>
            <w:tcW w:w="1524" w:type="dxa"/>
          </w:tcPr>
          <w:p>
            <w:pPr>
              <w:pStyle w:val="TableParagraph"/>
              <w:rPr>
                <w:sz w:val="24"/>
              </w:rPr>
            </w:pPr>
            <w:r>
              <w:rPr>
                <w:sz w:val="24"/>
                <w:vertAlign w:val="superscript"/>
              </w:rPr>
              <w:t>12</w:t>
            </w:r>
            <w:r>
              <w:rPr>
                <w:sz w:val="24"/>
                <w:vertAlign w:val="baseline"/>
              </w:rPr>
              <w:t>CH</w:t>
            </w:r>
            <w:r>
              <w:rPr>
                <w:sz w:val="24"/>
                <w:vertAlign w:val="subscript"/>
              </w:rPr>
              <w:t>2</w:t>
            </w:r>
            <w:r>
              <w:rPr>
                <w:sz w:val="24"/>
                <w:vertAlign w:val="baseline"/>
              </w:rPr>
              <w:t>D</w:t>
            </w:r>
            <w:r>
              <w:rPr>
                <w:sz w:val="24"/>
                <w:vertAlign w:val="subscript"/>
              </w:rPr>
              <w:t>2</w:t>
            </w:r>
          </w:p>
        </w:tc>
        <w:tc>
          <w:tcPr>
            <w:tcW w:w="5856" w:type="dxa"/>
          </w:tcPr>
          <w:p>
            <w:pPr>
              <w:pStyle w:val="TableParagraph"/>
              <w:ind w:left="105"/>
              <w:rPr>
                <w:sz w:val="24"/>
              </w:rPr>
            </w:pPr>
            <w:r>
              <w:rPr>
                <w:sz w:val="24"/>
              </w:rPr>
              <w:t>= 0.989 × 0.99985 × 0.99985 × 0.00015 × 0.00015</w:t>
            </w:r>
          </w:p>
          <w:p>
            <w:pPr>
              <w:pStyle w:val="TableParagraph"/>
              <w:spacing w:line="240" w:lineRule="auto" w:before="142"/>
              <w:ind w:left="105"/>
              <w:rPr>
                <w:rFonts w:ascii="Carlito"/>
                <w:b/>
                <w:sz w:val="24"/>
              </w:rPr>
            </w:pPr>
            <w:r>
              <w:rPr>
                <w:rFonts w:ascii="Carlito"/>
                <w:sz w:val="24"/>
              </w:rPr>
              <w:t>= 2.247 x 10</w:t>
            </w:r>
            <w:r>
              <w:rPr>
                <w:rFonts w:ascii="Carlito"/>
                <w:sz w:val="24"/>
                <w:vertAlign w:val="superscript"/>
              </w:rPr>
              <w:t>-8</w:t>
            </w:r>
            <w:r>
              <w:rPr>
                <w:rFonts w:ascii="Carlito"/>
                <w:sz w:val="24"/>
                <w:vertAlign w:val="baseline"/>
              </w:rPr>
              <w:t> = </w:t>
            </w:r>
            <w:r>
              <w:rPr>
                <w:rFonts w:ascii="Carlito"/>
                <w:b/>
                <w:sz w:val="24"/>
                <w:vertAlign w:val="baseline"/>
              </w:rPr>
              <w:t>2.247 x 10</w:t>
            </w:r>
            <w:r>
              <w:rPr>
                <w:rFonts w:ascii="Carlito"/>
                <w:b/>
                <w:sz w:val="24"/>
                <w:vertAlign w:val="superscript"/>
              </w:rPr>
              <w:t>-6</w:t>
            </w:r>
            <w:r>
              <w:rPr>
                <w:rFonts w:ascii="Carlito"/>
                <w:b/>
                <w:sz w:val="24"/>
                <w:vertAlign w:val="baseline"/>
              </w:rPr>
              <w:t> %</w:t>
            </w:r>
          </w:p>
        </w:tc>
      </w:tr>
      <w:tr>
        <w:trPr>
          <w:trHeight w:val="853" w:hRule="atLeast"/>
        </w:trPr>
        <w:tc>
          <w:tcPr>
            <w:tcW w:w="1524" w:type="dxa"/>
          </w:tcPr>
          <w:p>
            <w:pPr>
              <w:pStyle w:val="TableParagraph"/>
              <w:rPr>
                <w:sz w:val="24"/>
              </w:rPr>
            </w:pPr>
            <w:r>
              <w:rPr>
                <w:sz w:val="24"/>
                <w:vertAlign w:val="superscript"/>
              </w:rPr>
              <w:t>12</w:t>
            </w:r>
            <w:r>
              <w:rPr>
                <w:sz w:val="24"/>
                <w:vertAlign w:val="baseline"/>
              </w:rPr>
              <w:t>CH</w:t>
            </w:r>
            <w:r>
              <w:rPr>
                <w:sz w:val="24"/>
                <w:vertAlign w:val="subscript"/>
              </w:rPr>
              <w:t>1</w:t>
            </w:r>
            <w:r>
              <w:rPr>
                <w:sz w:val="24"/>
                <w:vertAlign w:val="baseline"/>
              </w:rPr>
              <w:t>D</w:t>
            </w:r>
            <w:r>
              <w:rPr>
                <w:sz w:val="24"/>
                <w:vertAlign w:val="subscript"/>
              </w:rPr>
              <w:t>3</w:t>
            </w:r>
          </w:p>
        </w:tc>
        <w:tc>
          <w:tcPr>
            <w:tcW w:w="5856" w:type="dxa"/>
          </w:tcPr>
          <w:p>
            <w:pPr>
              <w:pStyle w:val="TableParagraph"/>
              <w:ind w:left="105"/>
              <w:rPr>
                <w:sz w:val="24"/>
              </w:rPr>
            </w:pPr>
            <w:r>
              <w:rPr>
                <w:sz w:val="24"/>
              </w:rPr>
              <w:t>= 0.989 × 0.99985 × 0.00015 × 0.00015 × 0.00015</w:t>
            </w:r>
          </w:p>
          <w:p>
            <w:pPr>
              <w:pStyle w:val="TableParagraph"/>
              <w:spacing w:line="240" w:lineRule="auto" w:before="144"/>
              <w:ind w:left="105"/>
              <w:rPr>
                <w:rFonts w:ascii="Carlito"/>
                <w:b/>
                <w:sz w:val="24"/>
              </w:rPr>
            </w:pPr>
            <w:r>
              <w:rPr>
                <w:rFonts w:ascii="Carlito"/>
                <w:sz w:val="24"/>
              </w:rPr>
              <w:t>= 3.337 x 10</w:t>
            </w:r>
            <w:r>
              <w:rPr>
                <w:rFonts w:ascii="Carlito"/>
                <w:sz w:val="24"/>
                <w:vertAlign w:val="superscript"/>
              </w:rPr>
              <w:t>-12</w:t>
            </w:r>
            <w:r>
              <w:rPr>
                <w:rFonts w:ascii="Carlito"/>
                <w:sz w:val="24"/>
                <w:vertAlign w:val="baseline"/>
              </w:rPr>
              <w:t> = </w:t>
            </w:r>
            <w:r>
              <w:rPr>
                <w:rFonts w:ascii="Carlito"/>
                <w:b/>
                <w:sz w:val="24"/>
                <w:vertAlign w:val="baseline"/>
              </w:rPr>
              <w:t>3.337 x 10</w:t>
            </w:r>
            <w:r>
              <w:rPr>
                <w:rFonts w:ascii="Carlito"/>
                <w:b/>
                <w:sz w:val="24"/>
                <w:vertAlign w:val="superscript"/>
              </w:rPr>
              <w:t>-10</w:t>
            </w:r>
            <w:r>
              <w:rPr>
                <w:rFonts w:ascii="Carlito"/>
                <w:b/>
                <w:sz w:val="24"/>
                <w:vertAlign w:val="baseline"/>
              </w:rPr>
              <w:t> %</w:t>
            </w:r>
          </w:p>
        </w:tc>
      </w:tr>
      <w:tr>
        <w:trPr>
          <w:trHeight w:val="853" w:hRule="atLeast"/>
        </w:trPr>
        <w:tc>
          <w:tcPr>
            <w:tcW w:w="1524" w:type="dxa"/>
          </w:tcPr>
          <w:p>
            <w:pPr>
              <w:pStyle w:val="TableParagraph"/>
              <w:spacing w:line="115" w:lineRule="auto" w:before="11"/>
              <w:rPr>
                <w:sz w:val="16"/>
              </w:rPr>
            </w:pPr>
            <w:r>
              <w:rPr>
                <w:sz w:val="16"/>
              </w:rPr>
              <w:t>12</w:t>
            </w:r>
            <w:r>
              <w:rPr>
                <w:position w:val="-10"/>
                <w:sz w:val="24"/>
              </w:rPr>
              <w:t>CD</w:t>
            </w:r>
            <w:r>
              <w:rPr>
                <w:position w:val="-13"/>
                <w:sz w:val="16"/>
              </w:rPr>
              <w:t>4</w:t>
            </w:r>
          </w:p>
        </w:tc>
        <w:tc>
          <w:tcPr>
            <w:tcW w:w="5856" w:type="dxa"/>
          </w:tcPr>
          <w:p>
            <w:pPr>
              <w:pStyle w:val="TableParagraph"/>
              <w:ind w:left="105"/>
              <w:rPr>
                <w:sz w:val="24"/>
              </w:rPr>
            </w:pPr>
            <w:r>
              <w:rPr>
                <w:sz w:val="24"/>
              </w:rPr>
              <w:t>= 0.989 × 0.00015 × 0.00015 × 0.00015 × 0.00015</w:t>
            </w:r>
          </w:p>
          <w:p>
            <w:pPr>
              <w:pStyle w:val="TableParagraph"/>
              <w:spacing w:line="240" w:lineRule="auto" w:before="144"/>
              <w:ind w:left="105"/>
              <w:rPr>
                <w:rFonts w:ascii="Carlito"/>
                <w:b/>
                <w:sz w:val="24"/>
              </w:rPr>
            </w:pPr>
            <w:r>
              <w:rPr>
                <w:rFonts w:ascii="Carlito"/>
                <w:sz w:val="24"/>
              </w:rPr>
              <w:t>= 5.007 x 10</w:t>
            </w:r>
            <w:r>
              <w:rPr>
                <w:rFonts w:ascii="Carlito"/>
                <w:sz w:val="24"/>
                <w:vertAlign w:val="superscript"/>
              </w:rPr>
              <w:t>-16</w:t>
            </w:r>
            <w:r>
              <w:rPr>
                <w:rFonts w:ascii="Carlito"/>
                <w:sz w:val="24"/>
                <w:vertAlign w:val="baseline"/>
              </w:rPr>
              <w:t> = </w:t>
            </w:r>
            <w:r>
              <w:rPr>
                <w:rFonts w:ascii="Carlito"/>
                <w:b/>
                <w:sz w:val="24"/>
                <w:vertAlign w:val="baseline"/>
              </w:rPr>
              <w:t>5.007 x 10</w:t>
            </w:r>
            <w:r>
              <w:rPr>
                <w:rFonts w:ascii="Carlito"/>
                <w:b/>
                <w:sz w:val="24"/>
                <w:vertAlign w:val="superscript"/>
              </w:rPr>
              <w:t>-14</w:t>
            </w:r>
            <w:r>
              <w:rPr>
                <w:rFonts w:ascii="Carlito"/>
                <w:b/>
                <w:sz w:val="24"/>
                <w:vertAlign w:val="baseline"/>
              </w:rPr>
              <w:t> %</w:t>
            </w:r>
          </w:p>
        </w:tc>
      </w:tr>
      <w:tr>
        <w:trPr>
          <w:trHeight w:val="853" w:hRule="atLeast"/>
        </w:trPr>
        <w:tc>
          <w:tcPr>
            <w:tcW w:w="1524" w:type="dxa"/>
          </w:tcPr>
          <w:p>
            <w:pPr>
              <w:pStyle w:val="TableParagraph"/>
              <w:spacing w:line="115" w:lineRule="auto" w:before="11"/>
              <w:rPr>
                <w:sz w:val="16"/>
              </w:rPr>
            </w:pPr>
            <w:r>
              <w:rPr>
                <w:sz w:val="16"/>
              </w:rPr>
              <w:t>13</w:t>
            </w:r>
            <w:r>
              <w:rPr>
                <w:position w:val="-10"/>
                <w:sz w:val="24"/>
              </w:rPr>
              <w:t>CH</w:t>
            </w:r>
            <w:r>
              <w:rPr>
                <w:position w:val="-13"/>
                <w:sz w:val="16"/>
              </w:rPr>
              <w:t>4</w:t>
            </w:r>
          </w:p>
        </w:tc>
        <w:tc>
          <w:tcPr>
            <w:tcW w:w="5856" w:type="dxa"/>
          </w:tcPr>
          <w:p>
            <w:pPr>
              <w:pStyle w:val="TableParagraph"/>
              <w:ind w:left="105"/>
              <w:rPr>
                <w:sz w:val="24"/>
              </w:rPr>
            </w:pPr>
            <w:r>
              <w:rPr>
                <w:sz w:val="24"/>
              </w:rPr>
              <w:t>= 0.0110 × 0.99985 × 0.99985 × 0.99985 × 0.99985</w:t>
            </w:r>
          </w:p>
          <w:p>
            <w:pPr>
              <w:pStyle w:val="TableParagraph"/>
              <w:spacing w:line="240" w:lineRule="auto" w:before="142"/>
              <w:ind w:left="105"/>
              <w:rPr>
                <w:rFonts w:ascii="Carlito"/>
                <w:b/>
                <w:sz w:val="24"/>
              </w:rPr>
            </w:pPr>
            <w:r>
              <w:rPr>
                <w:rFonts w:ascii="Carlito"/>
                <w:sz w:val="24"/>
              </w:rPr>
              <w:t>= 0.011 = </w:t>
            </w:r>
            <w:r>
              <w:rPr>
                <w:rFonts w:ascii="Carlito"/>
                <w:b/>
                <w:sz w:val="24"/>
              </w:rPr>
              <w:t>1.1 %</w:t>
            </w:r>
          </w:p>
        </w:tc>
      </w:tr>
      <w:tr>
        <w:trPr>
          <w:trHeight w:val="851" w:hRule="atLeast"/>
        </w:trPr>
        <w:tc>
          <w:tcPr>
            <w:tcW w:w="1524" w:type="dxa"/>
          </w:tcPr>
          <w:p>
            <w:pPr>
              <w:pStyle w:val="TableParagraph"/>
              <w:rPr>
                <w:sz w:val="24"/>
              </w:rPr>
            </w:pPr>
            <w:r>
              <w:rPr>
                <w:sz w:val="24"/>
                <w:vertAlign w:val="superscript"/>
              </w:rPr>
              <w:t>13</w:t>
            </w:r>
            <w:r>
              <w:rPr>
                <w:sz w:val="24"/>
                <w:vertAlign w:val="baseline"/>
              </w:rPr>
              <w:t>CH</w:t>
            </w:r>
            <w:r>
              <w:rPr>
                <w:sz w:val="24"/>
                <w:vertAlign w:val="subscript"/>
              </w:rPr>
              <w:t>3</w:t>
            </w:r>
            <w:r>
              <w:rPr>
                <w:sz w:val="24"/>
                <w:vertAlign w:val="baseline"/>
              </w:rPr>
              <w:t>D</w:t>
            </w:r>
          </w:p>
        </w:tc>
        <w:tc>
          <w:tcPr>
            <w:tcW w:w="5856" w:type="dxa"/>
          </w:tcPr>
          <w:p>
            <w:pPr>
              <w:pStyle w:val="TableParagraph"/>
              <w:ind w:left="105"/>
              <w:rPr>
                <w:sz w:val="24"/>
              </w:rPr>
            </w:pPr>
            <w:r>
              <w:rPr>
                <w:sz w:val="24"/>
              </w:rPr>
              <w:t>= 0.0110 × 0.99985 × 0.99985 × 0.99985 × 0.00015</w:t>
            </w:r>
          </w:p>
          <w:p>
            <w:pPr>
              <w:pStyle w:val="TableParagraph"/>
              <w:spacing w:line="240" w:lineRule="auto" w:before="142"/>
              <w:ind w:left="105"/>
              <w:rPr>
                <w:rFonts w:ascii="Carlito"/>
                <w:b/>
                <w:sz w:val="24"/>
              </w:rPr>
            </w:pPr>
            <w:r>
              <w:rPr>
                <w:rFonts w:ascii="Carlito"/>
                <w:sz w:val="24"/>
              </w:rPr>
              <w:t>= 1.649 x 10</w:t>
            </w:r>
            <w:r>
              <w:rPr>
                <w:rFonts w:ascii="Carlito"/>
                <w:sz w:val="24"/>
                <w:vertAlign w:val="superscript"/>
              </w:rPr>
              <w:t>-6</w:t>
            </w:r>
            <w:r>
              <w:rPr>
                <w:rFonts w:ascii="Carlito"/>
                <w:sz w:val="24"/>
                <w:vertAlign w:val="baseline"/>
              </w:rPr>
              <w:t> = </w:t>
            </w:r>
            <w:r>
              <w:rPr>
                <w:rFonts w:ascii="Carlito"/>
                <w:b/>
                <w:sz w:val="24"/>
                <w:vertAlign w:val="baseline"/>
              </w:rPr>
              <w:t>1.649 x 10</w:t>
            </w:r>
            <w:r>
              <w:rPr>
                <w:rFonts w:ascii="Carlito"/>
                <w:b/>
                <w:sz w:val="24"/>
                <w:vertAlign w:val="superscript"/>
              </w:rPr>
              <w:t>-4</w:t>
            </w:r>
            <w:r>
              <w:rPr>
                <w:rFonts w:ascii="Carlito"/>
                <w:b/>
                <w:sz w:val="24"/>
                <w:vertAlign w:val="baseline"/>
              </w:rPr>
              <w:t> %</w:t>
            </w:r>
          </w:p>
        </w:tc>
      </w:tr>
      <w:tr>
        <w:trPr>
          <w:trHeight w:val="854" w:hRule="atLeast"/>
        </w:trPr>
        <w:tc>
          <w:tcPr>
            <w:tcW w:w="1524" w:type="dxa"/>
          </w:tcPr>
          <w:p>
            <w:pPr>
              <w:pStyle w:val="TableParagraph"/>
              <w:spacing w:line="273" w:lineRule="exact"/>
              <w:rPr>
                <w:sz w:val="24"/>
              </w:rPr>
            </w:pPr>
            <w:r>
              <w:rPr>
                <w:sz w:val="24"/>
                <w:vertAlign w:val="superscript"/>
              </w:rPr>
              <w:t>13</w:t>
            </w:r>
            <w:r>
              <w:rPr>
                <w:sz w:val="24"/>
                <w:vertAlign w:val="baseline"/>
              </w:rPr>
              <w:t>CH</w:t>
            </w:r>
            <w:r>
              <w:rPr>
                <w:sz w:val="24"/>
                <w:vertAlign w:val="subscript"/>
              </w:rPr>
              <w:t>2</w:t>
            </w:r>
            <w:r>
              <w:rPr>
                <w:sz w:val="24"/>
                <w:vertAlign w:val="baseline"/>
              </w:rPr>
              <w:t>D</w:t>
            </w:r>
            <w:r>
              <w:rPr>
                <w:sz w:val="24"/>
                <w:vertAlign w:val="subscript"/>
              </w:rPr>
              <w:t>2</w:t>
            </w:r>
          </w:p>
        </w:tc>
        <w:tc>
          <w:tcPr>
            <w:tcW w:w="5856" w:type="dxa"/>
          </w:tcPr>
          <w:p>
            <w:pPr>
              <w:pStyle w:val="TableParagraph"/>
              <w:spacing w:line="273" w:lineRule="exact"/>
              <w:ind w:left="105"/>
              <w:rPr>
                <w:sz w:val="24"/>
              </w:rPr>
            </w:pPr>
            <w:r>
              <w:rPr>
                <w:sz w:val="24"/>
              </w:rPr>
              <w:t>= 0.0110 × 0.99985 × 0.99985 × 0.00015 × 0.00015</w:t>
            </w:r>
          </w:p>
          <w:p>
            <w:pPr>
              <w:pStyle w:val="TableParagraph"/>
              <w:spacing w:line="240" w:lineRule="auto" w:before="142"/>
              <w:ind w:left="105"/>
              <w:rPr>
                <w:rFonts w:ascii="Carlito"/>
                <w:b/>
                <w:sz w:val="24"/>
              </w:rPr>
            </w:pPr>
            <w:r>
              <w:rPr>
                <w:rFonts w:ascii="Carlito"/>
                <w:sz w:val="24"/>
              </w:rPr>
              <w:t>= 2.474 x 10</w:t>
            </w:r>
            <w:r>
              <w:rPr>
                <w:rFonts w:ascii="Carlito"/>
                <w:sz w:val="24"/>
                <w:vertAlign w:val="superscript"/>
              </w:rPr>
              <w:t>-10</w:t>
            </w:r>
            <w:r>
              <w:rPr>
                <w:rFonts w:ascii="Carlito"/>
                <w:sz w:val="24"/>
                <w:vertAlign w:val="baseline"/>
              </w:rPr>
              <w:t> = </w:t>
            </w:r>
            <w:r>
              <w:rPr>
                <w:rFonts w:ascii="Carlito"/>
                <w:b/>
                <w:sz w:val="24"/>
                <w:vertAlign w:val="baseline"/>
              </w:rPr>
              <w:t>2.474 x 10</w:t>
            </w:r>
            <w:r>
              <w:rPr>
                <w:rFonts w:ascii="Carlito"/>
                <w:b/>
                <w:sz w:val="24"/>
                <w:vertAlign w:val="superscript"/>
              </w:rPr>
              <w:t>-8</w:t>
            </w:r>
            <w:r>
              <w:rPr>
                <w:rFonts w:ascii="Carlito"/>
                <w:b/>
                <w:sz w:val="24"/>
                <w:vertAlign w:val="baseline"/>
              </w:rPr>
              <w:t> %</w:t>
            </w:r>
          </w:p>
        </w:tc>
      </w:tr>
      <w:tr>
        <w:trPr>
          <w:trHeight w:val="854" w:hRule="atLeast"/>
        </w:trPr>
        <w:tc>
          <w:tcPr>
            <w:tcW w:w="1524" w:type="dxa"/>
          </w:tcPr>
          <w:p>
            <w:pPr>
              <w:pStyle w:val="TableParagraph"/>
              <w:rPr>
                <w:sz w:val="24"/>
              </w:rPr>
            </w:pPr>
            <w:r>
              <w:rPr>
                <w:sz w:val="24"/>
                <w:vertAlign w:val="superscript"/>
              </w:rPr>
              <w:t>13</w:t>
            </w:r>
            <w:r>
              <w:rPr>
                <w:sz w:val="24"/>
                <w:vertAlign w:val="baseline"/>
              </w:rPr>
              <w:t>CH</w:t>
            </w:r>
            <w:r>
              <w:rPr>
                <w:sz w:val="24"/>
                <w:vertAlign w:val="subscript"/>
              </w:rPr>
              <w:t>1</w:t>
            </w:r>
            <w:r>
              <w:rPr>
                <w:sz w:val="24"/>
                <w:vertAlign w:val="baseline"/>
              </w:rPr>
              <w:t>D</w:t>
            </w:r>
            <w:r>
              <w:rPr>
                <w:sz w:val="24"/>
                <w:vertAlign w:val="subscript"/>
              </w:rPr>
              <w:t>3</w:t>
            </w:r>
          </w:p>
        </w:tc>
        <w:tc>
          <w:tcPr>
            <w:tcW w:w="5856" w:type="dxa"/>
          </w:tcPr>
          <w:p>
            <w:pPr>
              <w:pStyle w:val="TableParagraph"/>
              <w:ind w:left="105"/>
              <w:rPr>
                <w:sz w:val="24"/>
              </w:rPr>
            </w:pPr>
            <w:r>
              <w:rPr>
                <w:sz w:val="24"/>
              </w:rPr>
              <w:t>= 0.0110 × 0.99985 × 0.00015 × 0.00015 × 0.00015</w:t>
            </w:r>
          </w:p>
          <w:p>
            <w:pPr>
              <w:pStyle w:val="TableParagraph"/>
              <w:spacing w:line="240" w:lineRule="auto" w:before="144"/>
              <w:ind w:left="105"/>
              <w:rPr>
                <w:rFonts w:ascii="Carlito"/>
                <w:b/>
                <w:sz w:val="24"/>
              </w:rPr>
            </w:pPr>
            <w:r>
              <w:rPr>
                <w:rFonts w:ascii="Carlito"/>
                <w:sz w:val="24"/>
              </w:rPr>
              <w:t>= 3.712 x 10</w:t>
            </w:r>
            <w:r>
              <w:rPr>
                <w:rFonts w:ascii="Carlito"/>
                <w:sz w:val="24"/>
                <w:vertAlign w:val="superscript"/>
              </w:rPr>
              <w:t>-14</w:t>
            </w:r>
            <w:r>
              <w:rPr>
                <w:rFonts w:ascii="Carlito"/>
                <w:sz w:val="24"/>
                <w:vertAlign w:val="baseline"/>
              </w:rPr>
              <w:t> = </w:t>
            </w:r>
            <w:r>
              <w:rPr>
                <w:rFonts w:ascii="Carlito"/>
                <w:b/>
                <w:sz w:val="24"/>
                <w:vertAlign w:val="baseline"/>
              </w:rPr>
              <w:t>3.712 x 10</w:t>
            </w:r>
            <w:r>
              <w:rPr>
                <w:rFonts w:ascii="Carlito"/>
                <w:b/>
                <w:sz w:val="24"/>
                <w:vertAlign w:val="superscript"/>
              </w:rPr>
              <w:t>-12</w:t>
            </w:r>
            <w:r>
              <w:rPr>
                <w:rFonts w:ascii="Carlito"/>
                <w:b/>
                <w:sz w:val="24"/>
                <w:vertAlign w:val="baseline"/>
              </w:rPr>
              <w:t> %</w:t>
            </w:r>
          </w:p>
        </w:tc>
      </w:tr>
      <w:tr>
        <w:trPr>
          <w:trHeight w:val="853" w:hRule="atLeast"/>
        </w:trPr>
        <w:tc>
          <w:tcPr>
            <w:tcW w:w="1524" w:type="dxa"/>
          </w:tcPr>
          <w:p>
            <w:pPr>
              <w:pStyle w:val="TableParagraph"/>
              <w:spacing w:line="115" w:lineRule="auto" w:before="11"/>
              <w:rPr>
                <w:sz w:val="16"/>
              </w:rPr>
            </w:pPr>
            <w:r>
              <w:rPr>
                <w:sz w:val="16"/>
              </w:rPr>
              <w:t>13</w:t>
            </w:r>
            <w:r>
              <w:rPr>
                <w:position w:val="-10"/>
                <w:sz w:val="24"/>
              </w:rPr>
              <w:t>CD</w:t>
            </w:r>
            <w:r>
              <w:rPr>
                <w:position w:val="-13"/>
                <w:sz w:val="16"/>
              </w:rPr>
              <w:t>4</w:t>
            </w:r>
          </w:p>
        </w:tc>
        <w:tc>
          <w:tcPr>
            <w:tcW w:w="5856" w:type="dxa"/>
          </w:tcPr>
          <w:p>
            <w:pPr>
              <w:pStyle w:val="TableParagraph"/>
              <w:ind w:left="105"/>
              <w:rPr>
                <w:sz w:val="24"/>
              </w:rPr>
            </w:pPr>
            <w:r>
              <w:rPr>
                <w:sz w:val="24"/>
              </w:rPr>
              <w:t>= 0.0110 × 0.00015 × 0.00015 × 0.00015 × 0.00015</w:t>
            </w:r>
          </w:p>
          <w:p>
            <w:pPr>
              <w:pStyle w:val="TableParagraph"/>
              <w:spacing w:line="240" w:lineRule="auto" w:before="144"/>
              <w:ind w:left="105"/>
              <w:rPr>
                <w:rFonts w:ascii="Carlito"/>
                <w:b/>
                <w:sz w:val="24"/>
              </w:rPr>
            </w:pPr>
            <w:r>
              <w:rPr>
                <w:rFonts w:ascii="Carlito"/>
                <w:sz w:val="24"/>
              </w:rPr>
              <w:t>= 5.569 x 10</w:t>
            </w:r>
            <w:r>
              <w:rPr>
                <w:rFonts w:ascii="Carlito"/>
                <w:sz w:val="24"/>
                <w:vertAlign w:val="superscript"/>
              </w:rPr>
              <w:t>-18</w:t>
            </w:r>
            <w:r>
              <w:rPr>
                <w:rFonts w:ascii="Carlito"/>
                <w:sz w:val="24"/>
                <w:vertAlign w:val="baseline"/>
              </w:rPr>
              <w:t> = </w:t>
            </w:r>
            <w:r>
              <w:rPr>
                <w:rFonts w:ascii="Carlito"/>
                <w:b/>
                <w:sz w:val="24"/>
                <w:vertAlign w:val="baseline"/>
              </w:rPr>
              <w:t>5.569 x 10</w:t>
            </w:r>
            <w:r>
              <w:rPr>
                <w:rFonts w:ascii="Carlito"/>
                <w:b/>
                <w:sz w:val="24"/>
                <w:vertAlign w:val="superscript"/>
              </w:rPr>
              <w:t>-16</w:t>
            </w:r>
            <w:r>
              <w:rPr>
                <w:rFonts w:ascii="Carlito"/>
                <w:b/>
                <w:sz w:val="24"/>
                <w:vertAlign w:val="baseline"/>
              </w:rPr>
              <w:t> %</w:t>
            </w:r>
          </w:p>
        </w:tc>
      </w:tr>
    </w:tbl>
    <w:p>
      <w:pPr>
        <w:spacing w:after="0" w:line="240" w:lineRule="auto"/>
        <w:rPr>
          <w:rFonts w:ascii="Carlito"/>
          <w:sz w:val="24"/>
        </w:rPr>
        <w:sectPr>
          <w:pgSz w:w="11910" w:h="16840"/>
          <w:pgMar w:header="722" w:footer="748" w:top="1300" w:bottom="940" w:left="1500" w:right="1480"/>
        </w:sectPr>
      </w:pPr>
    </w:p>
    <w:p>
      <w:pPr>
        <w:pStyle w:val="BodyText"/>
        <w:spacing w:line="360" w:lineRule="auto" w:before="119"/>
        <w:ind w:left="300" w:right="318"/>
        <w:jc w:val="both"/>
      </w:pPr>
      <w:r>
        <w:rPr>
          <w:vertAlign w:val="superscript"/>
        </w:rPr>
        <w:t>12</w:t>
      </w:r>
      <w:r>
        <w:rPr>
          <w:vertAlign w:val="baseline"/>
        </w:rPr>
        <w:t>CH</w:t>
      </w:r>
      <w:r>
        <w:rPr>
          <w:vertAlign w:val="subscript"/>
        </w:rPr>
        <w:t>4</w:t>
      </w:r>
      <w:r>
        <w:rPr>
          <w:vertAlign w:val="baseline"/>
        </w:rPr>
        <w:t> and </w:t>
      </w:r>
      <w:r>
        <w:rPr>
          <w:vertAlign w:val="superscript"/>
        </w:rPr>
        <w:t>13</w:t>
      </w:r>
      <w:r>
        <w:rPr>
          <w:vertAlign w:val="baseline"/>
        </w:rPr>
        <w:t>CH</w:t>
      </w:r>
      <w:r>
        <w:rPr>
          <w:vertAlign w:val="subscript"/>
        </w:rPr>
        <w:t>4</w:t>
      </w:r>
      <w:r>
        <w:rPr>
          <w:vertAlign w:val="baseline"/>
        </w:rPr>
        <w:t> are the two predominant isotopologues of methane. Other isotopologues are too small in quantities to detect. A methane mass spectrum will therefore look like as shown in Figure 13.1</w:t>
      </w:r>
    </w:p>
    <w:p>
      <w:pPr>
        <w:pStyle w:val="BodyText"/>
        <w:spacing w:before="4"/>
        <w:rPr>
          <w:sz w:val="19"/>
        </w:rPr>
      </w:pPr>
      <w:r>
        <w:rPr/>
        <w:drawing>
          <wp:anchor distT="0" distB="0" distL="0" distR="0" allowOverlap="1" layoutInCell="1" locked="0" behindDoc="0" simplePos="0" relativeHeight="204">
            <wp:simplePos x="0" y="0"/>
            <wp:positionH relativeFrom="page">
              <wp:posOffset>2030688</wp:posOffset>
            </wp:positionH>
            <wp:positionV relativeFrom="paragraph">
              <wp:posOffset>166350</wp:posOffset>
            </wp:positionV>
            <wp:extent cx="3689321" cy="2208656"/>
            <wp:effectExtent l="0" t="0" r="0" b="0"/>
            <wp:wrapTopAndBottom/>
            <wp:docPr id="161" name="image85.png" descr="Figure 13.1.tif"/>
            <wp:cNvGraphicFramePr>
              <a:graphicFrameLocks noChangeAspect="1"/>
            </wp:cNvGraphicFramePr>
            <a:graphic>
              <a:graphicData uri="http://schemas.openxmlformats.org/drawingml/2006/picture">
                <pic:pic>
                  <pic:nvPicPr>
                    <pic:cNvPr id="162" name="image85.png"/>
                    <pic:cNvPicPr/>
                  </pic:nvPicPr>
                  <pic:blipFill>
                    <a:blip r:embed="rId93" cstate="print"/>
                    <a:stretch>
                      <a:fillRect/>
                    </a:stretch>
                  </pic:blipFill>
                  <pic:spPr>
                    <a:xfrm>
                      <a:off x="0" y="0"/>
                      <a:ext cx="3689321" cy="2208656"/>
                    </a:xfrm>
                    <a:prstGeom prst="rect">
                      <a:avLst/>
                    </a:prstGeom>
                  </pic:spPr>
                </pic:pic>
              </a:graphicData>
            </a:graphic>
          </wp:anchor>
        </w:drawing>
      </w:r>
    </w:p>
    <w:p>
      <w:pPr>
        <w:pStyle w:val="BodyText"/>
        <w:spacing w:before="3"/>
      </w:pPr>
    </w:p>
    <w:p>
      <w:pPr>
        <w:spacing w:before="0"/>
        <w:ind w:left="292" w:right="114" w:firstLine="0"/>
        <w:jc w:val="center"/>
        <w:rPr>
          <w:b/>
          <w:sz w:val="16"/>
        </w:rPr>
      </w:pPr>
      <w:r>
        <w:rPr>
          <w:b/>
          <w:sz w:val="16"/>
        </w:rPr>
        <w:t>Figure 13.1 Electron ionization mass spectrum of methane showing the two predominant isotopologues</w:t>
      </w:r>
    </w:p>
    <w:p>
      <w:pPr>
        <w:pStyle w:val="BodyText"/>
        <w:spacing w:before="10"/>
        <w:rPr>
          <w:b/>
        </w:rPr>
      </w:pPr>
    </w:p>
    <w:p>
      <w:pPr>
        <w:pStyle w:val="BodyText"/>
        <w:spacing w:line="360" w:lineRule="auto"/>
        <w:ind w:left="300" w:right="317"/>
        <w:jc w:val="both"/>
      </w:pPr>
      <w:r>
        <w:rPr>
          <w:i/>
        </w:rPr>
        <w:t>Fragmentation: </w:t>
      </w:r>
      <w:r>
        <w:rPr/>
        <w:t>We have already studied that electron ionization imparts large amount of energy to the cations that it generates. The radical cations thus generated undergo extensive fragmentation giving smaller cations. The fragments generated from molecular ions can provide important structural information about the molecules. Let us take ethanol as an example to see how this</w:t>
      </w:r>
      <w:r>
        <w:rPr>
          <w:spacing w:val="-5"/>
        </w:rPr>
        <w:t> </w:t>
      </w:r>
      <w:r>
        <w:rPr/>
        <w:t>works:</w:t>
      </w:r>
    </w:p>
    <w:p>
      <w:pPr>
        <w:pStyle w:val="BodyText"/>
        <w:spacing w:before="11"/>
        <w:rPr>
          <w:sz w:val="15"/>
        </w:rPr>
      </w:pPr>
      <w:r>
        <w:rPr/>
        <w:drawing>
          <wp:anchor distT="0" distB="0" distL="0" distR="0" allowOverlap="1" layoutInCell="1" locked="0" behindDoc="0" simplePos="0" relativeHeight="205">
            <wp:simplePos x="0" y="0"/>
            <wp:positionH relativeFrom="page">
              <wp:posOffset>2042222</wp:posOffset>
            </wp:positionH>
            <wp:positionV relativeFrom="paragraph">
              <wp:posOffset>141322</wp:posOffset>
            </wp:positionV>
            <wp:extent cx="3608536" cy="951356"/>
            <wp:effectExtent l="0" t="0" r="0" b="0"/>
            <wp:wrapTopAndBottom/>
            <wp:docPr id="163" name="image86.png" descr="Ethanol.tif"/>
            <wp:cNvGraphicFramePr>
              <a:graphicFrameLocks noChangeAspect="1"/>
            </wp:cNvGraphicFramePr>
            <a:graphic>
              <a:graphicData uri="http://schemas.openxmlformats.org/drawingml/2006/picture">
                <pic:pic>
                  <pic:nvPicPr>
                    <pic:cNvPr id="164" name="image86.png"/>
                    <pic:cNvPicPr/>
                  </pic:nvPicPr>
                  <pic:blipFill>
                    <a:blip r:embed="rId94" cstate="print"/>
                    <a:stretch>
                      <a:fillRect/>
                    </a:stretch>
                  </pic:blipFill>
                  <pic:spPr>
                    <a:xfrm>
                      <a:off x="0" y="0"/>
                      <a:ext cx="3608536" cy="951356"/>
                    </a:xfrm>
                    <a:prstGeom prst="rect">
                      <a:avLst/>
                    </a:prstGeom>
                  </pic:spPr>
                </pic:pic>
              </a:graphicData>
            </a:graphic>
          </wp:anchor>
        </w:drawing>
      </w:r>
    </w:p>
    <w:p>
      <w:pPr>
        <w:pStyle w:val="BodyText"/>
        <w:spacing w:before="5"/>
        <w:rPr>
          <w:sz w:val="26"/>
        </w:rPr>
      </w:pPr>
    </w:p>
    <w:p>
      <w:pPr>
        <w:pStyle w:val="BodyText"/>
        <w:spacing w:line="360" w:lineRule="auto"/>
        <w:ind w:left="299" w:right="315"/>
        <w:jc w:val="both"/>
      </w:pPr>
      <w:r>
        <w:rPr/>
        <w:t>The cross signs in the molecular radical cation represent the cleavage sites of the molecular ion. Cleavage between methyl and methylene carbons (red cross) can result in [CH</w:t>
      </w:r>
      <w:r>
        <w:rPr>
          <w:vertAlign w:val="subscript"/>
        </w:rPr>
        <w:t>3</w:t>
      </w:r>
      <w:r>
        <w:rPr>
          <w:vertAlign w:val="baseline"/>
        </w:rPr>
        <w:t>]</w:t>
      </w:r>
      <w:r>
        <w:rPr>
          <w:vertAlign w:val="superscript"/>
        </w:rPr>
        <w:t>+</w:t>
      </w:r>
      <w:r>
        <w:rPr>
          <w:vertAlign w:val="baseline"/>
        </w:rPr>
        <w:t> or [CH</w:t>
      </w:r>
      <w:r>
        <w:rPr>
          <w:vertAlign w:val="subscript"/>
        </w:rPr>
        <w:t>2</w:t>
      </w:r>
      <w:r>
        <w:rPr>
          <w:vertAlign w:val="baseline"/>
        </w:rPr>
        <w:t>OH]</w:t>
      </w:r>
      <w:r>
        <w:rPr>
          <w:vertAlign w:val="superscript"/>
        </w:rPr>
        <w:t>+</w:t>
      </w:r>
      <w:r>
        <w:rPr>
          <w:vertAlign w:val="baseline"/>
        </w:rPr>
        <w:t> ions while cleavage between methylene carbon and oxygen can result in [C</w:t>
      </w:r>
      <w:r>
        <w:rPr>
          <w:vertAlign w:val="subscript"/>
        </w:rPr>
        <w:t>2</w:t>
      </w:r>
      <w:r>
        <w:rPr>
          <w:vertAlign w:val="baseline"/>
        </w:rPr>
        <w:t>H</w:t>
      </w:r>
      <w:r>
        <w:rPr>
          <w:vertAlign w:val="subscript"/>
        </w:rPr>
        <w:t>5</w:t>
      </w:r>
      <w:r>
        <w:rPr>
          <w:vertAlign w:val="baseline"/>
        </w:rPr>
        <w:t>]</w:t>
      </w:r>
      <w:r>
        <w:rPr>
          <w:vertAlign w:val="superscript"/>
        </w:rPr>
        <w:t>+</w:t>
      </w:r>
      <w:r>
        <w:rPr>
          <w:vertAlign w:val="baseline"/>
        </w:rPr>
        <w:t> or [OH]</w:t>
      </w:r>
      <w:r>
        <w:rPr>
          <w:vertAlign w:val="superscript"/>
        </w:rPr>
        <w:t>+</w:t>
      </w:r>
      <w:r>
        <w:rPr>
          <w:vertAlign w:val="baseline"/>
        </w:rPr>
        <w:t> ions. The electron ionization mass spectrum for ethanol will therefore look like as shown in Figure 13.2. The idea behind identifying the structure of the molecules is to look at the differences between the peaks. A difference of 15 Da will be due to methyl loss, a difference of 17 is suggestive of the hydroxyl group, a difference of 29 can be due to the loss of an ethyl or aldehyde group. This information can be used to identify the molecules. In fact, there are softwares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8"/>
        <w:jc w:val="both"/>
      </w:pPr>
      <w:r>
        <w:rPr/>
        <w:t>available which can provide the possible molecular formulae of the compound when fed with the MS peaks.</w:t>
      </w:r>
    </w:p>
    <w:p>
      <w:pPr>
        <w:pStyle w:val="BodyText"/>
        <w:spacing w:before="11"/>
        <w:rPr>
          <w:sz w:val="15"/>
        </w:rPr>
      </w:pPr>
      <w:r>
        <w:rPr/>
        <w:drawing>
          <wp:anchor distT="0" distB="0" distL="0" distR="0" allowOverlap="1" layoutInCell="1" locked="0" behindDoc="0" simplePos="0" relativeHeight="206">
            <wp:simplePos x="0" y="0"/>
            <wp:positionH relativeFrom="page">
              <wp:posOffset>2030688</wp:posOffset>
            </wp:positionH>
            <wp:positionV relativeFrom="paragraph">
              <wp:posOffset>141401</wp:posOffset>
            </wp:positionV>
            <wp:extent cx="3689321" cy="2233803"/>
            <wp:effectExtent l="0" t="0" r="0" b="0"/>
            <wp:wrapTopAndBottom/>
            <wp:docPr id="165" name="image87.png" descr="Figure 13.2.tif"/>
            <wp:cNvGraphicFramePr>
              <a:graphicFrameLocks noChangeAspect="1"/>
            </wp:cNvGraphicFramePr>
            <a:graphic>
              <a:graphicData uri="http://schemas.openxmlformats.org/drawingml/2006/picture">
                <pic:pic>
                  <pic:nvPicPr>
                    <pic:cNvPr id="166" name="image87.png"/>
                    <pic:cNvPicPr/>
                  </pic:nvPicPr>
                  <pic:blipFill>
                    <a:blip r:embed="rId95" cstate="print"/>
                    <a:stretch>
                      <a:fillRect/>
                    </a:stretch>
                  </pic:blipFill>
                  <pic:spPr>
                    <a:xfrm>
                      <a:off x="0" y="0"/>
                      <a:ext cx="3689321" cy="2233803"/>
                    </a:xfrm>
                    <a:prstGeom prst="rect">
                      <a:avLst/>
                    </a:prstGeom>
                  </pic:spPr>
                </pic:pic>
              </a:graphicData>
            </a:graphic>
          </wp:anchor>
        </w:drawing>
      </w:r>
    </w:p>
    <w:p>
      <w:pPr>
        <w:pStyle w:val="BodyText"/>
        <w:spacing w:before="1"/>
      </w:pPr>
    </w:p>
    <w:p>
      <w:pPr>
        <w:spacing w:before="1"/>
        <w:ind w:left="792" w:right="617" w:firstLine="0"/>
        <w:jc w:val="center"/>
        <w:rPr>
          <w:b/>
          <w:sz w:val="16"/>
        </w:rPr>
      </w:pPr>
      <w:r>
        <w:rPr>
          <w:b/>
          <w:sz w:val="16"/>
        </w:rPr>
        <w:t>Figure 13.2 Electron ionization mass spectrum of ethanol</w:t>
      </w:r>
    </w:p>
    <w:p>
      <w:pPr>
        <w:pStyle w:val="BodyText"/>
        <w:spacing w:before="3"/>
        <w:rPr>
          <w:b/>
          <w:sz w:val="25"/>
        </w:rPr>
      </w:pPr>
    </w:p>
    <w:p>
      <w:pPr>
        <w:pStyle w:val="Heading4"/>
      </w:pPr>
      <w:r>
        <w:rPr/>
        <w:t>Analysis of biomolecules</w:t>
      </w:r>
    </w:p>
    <w:p>
      <w:pPr>
        <w:pStyle w:val="BodyText"/>
        <w:rPr>
          <w:b/>
          <w:sz w:val="29"/>
        </w:rPr>
      </w:pPr>
    </w:p>
    <w:p>
      <w:pPr>
        <w:pStyle w:val="BodyText"/>
        <w:spacing w:line="360" w:lineRule="auto"/>
        <w:ind w:left="299" w:right="314"/>
        <w:jc w:val="both"/>
      </w:pPr>
      <w:r>
        <w:rPr/>
        <w:t>Since the advent of MALDI and ESI ionization method, mass spectrometry has become a routine method for analyzing biomolecules. MS has been successfully utilized for obtaining a large amount of information about biomolecules including information that is difficult to obtain using other tools. Let us go through the various applications of MS in biomolecular analysis:</w:t>
      </w:r>
    </w:p>
    <w:p>
      <w:pPr>
        <w:spacing w:line="360" w:lineRule="auto" w:before="201"/>
        <w:ind w:left="300" w:right="316" w:firstLine="0"/>
        <w:jc w:val="both"/>
        <w:rPr>
          <w:sz w:val="24"/>
        </w:rPr>
      </w:pPr>
      <w:r>
        <w:rPr>
          <w:i/>
          <w:sz w:val="24"/>
        </w:rPr>
        <w:t>Molecular weight determination: </w:t>
      </w:r>
      <w:r>
        <w:rPr>
          <w:sz w:val="24"/>
        </w:rPr>
        <w:t>Determination of molecular weight of a biomolecule is the most straightforward application of MS.</w:t>
      </w:r>
    </w:p>
    <w:p>
      <w:pPr>
        <w:pStyle w:val="BodyText"/>
        <w:rPr>
          <w:sz w:val="20"/>
        </w:rPr>
      </w:pPr>
    </w:p>
    <w:p>
      <w:pPr>
        <w:pStyle w:val="BodyText"/>
        <w:rPr>
          <w:sz w:val="20"/>
        </w:rPr>
      </w:pPr>
    </w:p>
    <w:p>
      <w:pPr>
        <w:pStyle w:val="BodyText"/>
        <w:spacing w:before="11"/>
        <w:rPr>
          <w:sz w:val="22"/>
        </w:rPr>
      </w:pPr>
    </w:p>
    <w:p>
      <w:pPr>
        <w:spacing w:after="0"/>
        <w:rPr>
          <w:sz w:val="22"/>
        </w:rPr>
        <w:sectPr>
          <w:pgSz w:w="11910" w:h="16840"/>
          <w:pgMar w:header="722" w:footer="748" w:top="1300" w:bottom="940" w:left="1500" w:right="1480"/>
        </w:sectPr>
      </w:pPr>
    </w:p>
    <w:p>
      <w:pPr>
        <w:pStyle w:val="BodyText"/>
        <w:spacing w:line="360" w:lineRule="auto" w:before="90"/>
        <w:ind w:left="299"/>
        <w:jc w:val="both"/>
      </w:pPr>
      <w:r>
        <w:rPr>
          <w:i/>
        </w:rPr>
        <w:t>Structure verification and purity: </w:t>
      </w:r>
      <w:r>
        <w:rPr/>
        <w:t>Chemically synthesized molecules, such as peptides and oligonucleotides are often characterized by liquid chromatography and  mass spectrometry. Suppose a chemically synthesized peptide, </w:t>
      </w:r>
      <w:r>
        <w:rPr>
          <w:i/>
        </w:rPr>
        <w:t>DAKLRYFNQP </w:t>
      </w:r>
      <w:r>
        <w:rPr/>
        <w:t>gives a MALDI mass spectrum as shown in</w:t>
      </w:r>
      <w:r>
        <w:rPr>
          <w:spacing w:val="57"/>
        </w:rPr>
        <w:t> </w:t>
      </w:r>
      <w:r>
        <w:rPr/>
        <w:t>Figure</w:t>
      </w:r>
    </w:p>
    <w:p>
      <w:pPr>
        <w:pStyle w:val="BodyText"/>
        <w:spacing w:before="10" w:after="40"/>
        <w:rPr>
          <w:sz w:val="14"/>
        </w:rPr>
      </w:pPr>
      <w:r>
        <w:rPr/>
        <w:br w:type="column"/>
      </w:r>
      <w:r>
        <w:rPr>
          <w:sz w:val="14"/>
        </w:rPr>
      </w:r>
    </w:p>
    <w:p>
      <w:pPr>
        <w:pStyle w:val="BodyText"/>
        <w:ind w:left="79"/>
        <w:rPr>
          <w:sz w:val="20"/>
        </w:rPr>
      </w:pPr>
      <w:r>
        <w:rPr>
          <w:sz w:val="20"/>
        </w:rPr>
        <w:pict>
          <v:group style="width:189pt;height:113.55pt;mso-position-horizontal-relative:char;mso-position-vertical-relative:line" coordorigin="0,0" coordsize="3780,2271">
            <v:shape style="position:absolute;left:0;top:0;width:3780;height:2271" coordorigin="0,0" coordsize="3780,2271" path="m559,0l451,0,451,864,451,864,451,0,108,0,108,0,0,0,0,1478,0,2270,559,2270,559,1478,559,0xm3780,0l3672,0,3672,0,667,0,559,0,559,2270,667,2270,3672,2270,3672,2270,3780,2270,3780,0xe" filled="true" fillcolor="#ffff00" stroked="false">
              <v:path arrowok="t"/>
              <v:fill type="solid"/>
            </v:shape>
            <v:shape style="position:absolute;left:124;top:17;width:280;height:496" coordorigin="125,17" coordsize="280,496" path="m272,17l257,17,243,19,186,45,141,104,125,175,125,194,146,270,203,344,208,353,213,362,217,376,217,461,217,467,219,473,223,483,228,492,231,496,234,500,260,512,270,512,298,496,301,492,306,483,310,473,312,467,312,461,312,376,316,362,321,353,327,344,367,295,383,270,404,204,405,194,405,175,388,104,343,45,299,22,286,19xe" filled="true" fillcolor="#ffc000" stroked="false">
              <v:path arrowok="t"/>
              <v:fill type="solid"/>
            </v:shape>
            <v:shape style="position:absolute;left:213;top:234;width:104;height:220" type="#_x0000_t75" stroked="false">
              <v:imagedata r:id="rId27" o:title=""/>
            </v:shape>
            <v:shape style="position:absolute;left:124;top:17;width:280;height:496" coordorigin="125,17" coordsize="280,496" path="m264,512l270,512,274,512,298,496,301,492,312,461,312,456,312,454,312,376,314,371,358,306,367,295,375,282,383,270,390,255,393,249,396,240,399,232,401,223,403,214,404,204,405,194,405,184,405,175,391,112,354,55,299,22,272,17,264,17,257,17,198,37,148,91,127,150,125,175,125,184,125,194,125,204,127,214,129,223,131,232,133,240,136,249,139,255,146,270,154,282,162,295,171,306,188,326,203,344,208,353,213,362,214,367,215,371,217,376,217,461,217,467,231,496,234,500,260,512,264,512xe" filled="false" stroked="true" strokeweight="1pt" strokecolor="#000000">
              <v:path arrowok="t"/>
              <v:stroke dashstyle="solid"/>
            </v:shape>
            <v:shape style="position:absolute;left:213;top:234;width:104;height:220" coordorigin="213,235" coordsize="104,220" path="m244,346l235,291,219,248,213,237,235,249,251,235,269,248,283,235,298,247,317,237,291,296,284,346m217,381l312,381,312,406,217,406,217,430,312,431,313,454,217,454e" filled="false" stroked="true" strokeweight="1pt" strokecolor="#000000">
              <v:path arrowok="t"/>
              <v:stroke dashstyle="solid"/>
            </v:shape>
            <v:shape style="position:absolute;left:667;top:9;width:3025;height:1291" type="#_x0000_t202" filled="false" stroked="false">
              <v:textbox inset="0,0,0,0">
                <w:txbxContent>
                  <w:p>
                    <w:pPr>
                      <w:spacing w:line="266" w:lineRule="exact" w:before="0"/>
                      <w:ind w:left="0" w:right="0" w:firstLine="0"/>
                      <w:jc w:val="left"/>
                      <w:rPr>
                        <w:b/>
                        <w:sz w:val="24"/>
                      </w:rPr>
                    </w:pPr>
                    <w:r>
                      <w:rPr>
                        <w:b/>
                        <w:sz w:val="24"/>
                      </w:rPr>
                      <w:t>THINK TANK??</w:t>
                    </w:r>
                  </w:p>
                  <w:p>
                    <w:pPr>
                      <w:spacing w:line="410" w:lineRule="atLeast" w:before="199"/>
                      <w:ind w:left="0" w:right="0" w:firstLine="0"/>
                      <w:jc w:val="left"/>
                      <w:rPr>
                        <w:sz w:val="24"/>
                      </w:rPr>
                    </w:pPr>
                    <w:r>
                      <w:rPr>
                        <w:sz w:val="24"/>
                      </w:rPr>
                      <w:t>In figure 13.3, where do you think the peaks at 1202.58 and</w:t>
                    </w:r>
                  </w:p>
                </w:txbxContent>
              </v:textbox>
              <w10:wrap type="none"/>
            </v:shape>
            <v:shape style="position:absolute;left:667;top:1446;width:800;height:681" type="#_x0000_t202" filled="false" stroked="false">
              <v:textbox inset="0,0,0,0">
                <w:txbxContent>
                  <w:p>
                    <w:pPr>
                      <w:spacing w:line="266" w:lineRule="exact" w:before="0"/>
                      <w:ind w:left="0" w:right="0" w:firstLine="0"/>
                      <w:jc w:val="left"/>
                      <w:rPr>
                        <w:sz w:val="24"/>
                      </w:rPr>
                    </w:pPr>
                    <w:r>
                      <w:rPr>
                        <w:sz w:val="24"/>
                      </w:rPr>
                      <w:t>1273.62</w:t>
                    </w:r>
                  </w:p>
                  <w:p>
                    <w:pPr>
                      <w:spacing w:before="139"/>
                      <w:ind w:left="0" w:right="0" w:firstLine="0"/>
                      <w:jc w:val="left"/>
                      <w:rPr>
                        <w:sz w:val="24"/>
                      </w:rPr>
                    </w:pPr>
                    <w:r>
                      <w:rPr>
                        <w:sz w:val="24"/>
                      </w:rPr>
                      <w:t>from?</w:t>
                    </w:r>
                  </w:p>
                </w:txbxContent>
              </v:textbox>
              <w10:wrap type="none"/>
            </v:shape>
            <v:shape style="position:absolute;left:1713;top:1446;width:381;height:266" type="#_x0000_t202" filled="false" stroked="false">
              <v:textbox inset="0,0,0,0">
                <w:txbxContent>
                  <w:p>
                    <w:pPr>
                      <w:spacing w:line="266" w:lineRule="exact" w:before="0"/>
                      <w:ind w:left="0" w:right="0" w:firstLine="0"/>
                      <w:jc w:val="left"/>
                      <w:rPr>
                        <w:sz w:val="24"/>
                      </w:rPr>
                    </w:pPr>
                    <w:r>
                      <w:rPr>
                        <w:sz w:val="24"/>
                      </w:rPr>
                      <w:t>m/z</w:t>
                    </w:r>
                  </w:p>
                </w:txbxContent>
              </v:textbox>
              <w10:wrap type="none"/>
            </v:shape>
            <v:shape style="position:absolute;left:2342;top:1446;width:1351;height:266" type="#_x0000_t202" filled="false" stroked="false">
              <v:textbox inset="0,0,0,0">
                <w:txbxContent>
                  <w:p>
                    <w:pPr>
                      <w:tabs>
                        <w:tab w:pos="878" w:val="left" w:leader="none"/>
                      </w:tabs>
                      <w:spacing w:line="266" w:lineRule="exact" w:before="0"/>
                      <w:ind w:left="0" w:right="0" w:firstLine="0"/>
                      <w:jc w:val="left"/>
                      <w:rPr>
                        <w:sz w:val="24"/>
                      </w:rPr>
                    </w:pPr>
                    <w:r>
                      <w:rPr>
                        <w:sz w:val="24"/>
                      </w:rPr>
                      <w:t>values</w:t>
                      <w:tab/>
                      <w:t>arise</w:t>
                    </w:r>
                  </w:p>
                </w:txbxContent>
              </v:textbox>
              <w10:wrap type="none"/>
            </v:shape>
          </v:group>
        </w:pict>
      </w:r>
      <w:r>
        <w:rPr>
          <w:sz w:val="20"/>
        </w:rPr>
      </w:r>
    </w:p>
    <w:p>
      <w:pPr>
        <w:pStyle w:val="BodyText"/>
        <w:spacing w:before="68"/>
        <w:ind w:left="81"/>
      </w:pPr>
      <w:r>
        <w:rPr/>
        <w:t>13.3; the monoisotopic mass of the</w:t>
      </w:r>
    </w:p>
    <w:p>
      <w:pPr>
        <w:spacing w:after="0"/>
        <w:sectPr>
          <w:type w:val="continuous"/>
          <w:pgSz w:w="11910" w:h="16840"/>
          <w:pgMar w:top="1300" w:bottom="940" w:left="1500" w:right="1480"/>
          <w:cols w:num="2" w:equalWidth="0">
            <w:col w:w="4816" w:space="40"/>
            <w:col w:w="4074"/>
          </w:cols>
        </w:sectPr>
      </w:pPr>
    </w:p>
    <w:p>
      <w:pPr>
        <w:pStyle w:val="BodyText"/>
        <w:spacing w:before="1"/>
        <w:ind w:left="299"/>
      </w:pPr>
      <w:r>
        <w:rPr/>
        <w:t>peptide is 1250.63 Da. The peak at 1180.59 is due to deletion of alanine.</w:t>
      </w:r>
    </w:p>
    <w:p>
      <w:pPr>
        <w:spacing w:after="0"/>
        <w:sectPr>
          <w:type w:val="continuous"/>
          <w:pgSz w:w="11910" w:h="16840"/>
          <w:pgMar w:top="1300" w:bottom="940" w:left="1500" w:right="1480"/>
        </w:sectPr>
      </w:pPr>
    </w:p>
    <w:p>
      <w:pPr>
        <w:pStyle w:val="BodyText"/>
        <w:spacing w:before="6" w:after="1"/>
        <w:rPr>
          <w:sz w:val="14"/>
        </w:rPr>
      </w:pPr>
    </w:p>
    <w:p>
      <w:pPr>
        <w:pStyle w:val="BodyText"/>
        <w:ind w:left="651"/>
        <w:rPr>
          <w:sz w:val="20"/>
        </w:rPr>
      </w:pPr>
      <w:r>
        <w:rPr>
          <w:sz w:val="20"/>
        </w:rPr>
        <w:drawing>
          <wp:inline distT="0" distB="0" distL="0" distR="0">
            <wp:extent cx="5011338" cy="2292477"/>
            <wp:effectExtent l="0" t="0" r="0" b="0"/>
            <wp:docPr id="167" name="image88.png" descr="Figure 13.3.tif"/>
            <wp:cNvGraphicFramePr>
              <a:graphicFrameLocks noChangeAspect="1"/>
            </wp:cNvGraphicFramePr>
            <a:graphic>
              <a:graphicData uri="http://schemas.openxmlformats.org/drawingml/2006/picture">
                <pic:pic>
                  <pic:nvPicPr>
                    <pic:cNvPr id="168" name="image88.png"/>
                    <pic:cNvPicPr/>
                  </pic:nvPicPr>
                  <pic:blipFill>
                    <a:blip r:embed="rId96" cstate="print"/>
                    <a:stretch>
                      <a:fillRect/>
                    </a:stretch>
                  </pic:blipFill>
                  <pic:spPr>
                    <a:xfrm>
                      <a:off x="0" y="0"/>
                      <a:ext cx="5011338" cy="2292477"/>
                    </a:xfrm>
                    <a:prstGeom prst="rect">
                      <a:avLst/>
                    </a:prstGeom>
                  </pic:spPr>
                </pic:pic>
              </a:graphicData>
            </a:graphic>
          </wp:inline>
        </w:drawing>
      </w:r>
      <w:r>
        <w:rPr>
          <w:sz w:val="20"/>
        </w:rPr>
      </w:r>
    </w:p>
    <w:p>
      <w:pPr>
        <w:pStyle w:val="BodyText"/>
        <w:spacing w:before="7"/>
        <w:rPr>
          <w:sz w:val="18"/>
        </w:rPr>
      </w:pPr>
    </w:p>
    <w:p>
      <w:pPr>
        <w:spacing w:line="362" w:lineRule="auto" w:before="94"/>
        <w:ind w:left="496" w:right="443" w:firstLine="0"/>
        <w:jc w:val="left"/>
        <w:rPr>
          <w:b/>
          <w:sz w:val="16"/>
        </w:rPr>
      </w:pPr>
      <w:r>
        <w:rPr>
          <w:b/>
          <w:sz w:val="16"/>
        </w:rPr>
        <w:t>Figure 13.3 A hypothesized MALDI mass spectrum of the synthesized peptide, DAKLRYFNQP (theoretically calculated mass: 1250.63 Da)</w:t>
      </w:r>
    </w:p>
    <w:p>
      <w:pPr>
        <w:pStyle w:val="BodyText"/>
        <w:rPr>
          <w:b/>
          <w:sz w:val="17"/>
        </w:rPr>
      </w:pPr>
    </w:p>
    <w:p>
      <w:pPr>
        <w:pStyle w:val="BodyText"/>
        <w:spacing w:line="360" w:lineRule="auto"/>
        <w:ind w:left="300" w:right="315"/>
        <w:jc w:val="both"/>
      </w:pPr>
      <w:r>
        <w:rPr>
          <w:i/>
        </w:rPr>
        <w:t>Identification of chemical modifications: </w:t>
      </w:r>
      <w:r>
        <w:rPr/>
        <w:t>Biomolecules, especially proteins, can undergo a variety of chemical modifications such as phosphorylation, acetylation, methylation, fatty acylation, glycosylation, etc. These modifications are involved in biological processes like regulation of enzyme activity, signal transduction, gene expression, etc. It is therefore important to identify these species for understanding their function. Owing to its sensitivity and resolution, mass spectrometry has emerged as the method of choice for identification of small molecule modifications in biomolecules.</w:t>
      </w:r>
    </w:p>
    <w:p>
      <w:pPr>
        <w:spacing w:before="199"/>
        <w:ind w:left="300" w:right="0" w:firstLine="0"/>
        <w:jc w:val="both"/>
        <w:rPr>
          <w:i/>
          <w:sz w:val="24"/>
        </w:rPr>
      </w:pPr>
      <w:r>
        <w:rPr>
          <w:i/>
          <w:sz w:val="24"/>
        </w:rPr>
        <w:t>Protein sequencing:</w:t>
      </w:r>
    </w:p>
    <w:p>
      <w:pPr>
        <w:pStyle w:val="BodyText"/>
        <w:spacing w:before="5"/>
        <w:rPr>
          <w:i/>
          <w:sz w:val="29"/>
        </w:rPr>
      </w:pPr>
    </w:p>
    <w:p>
      <w:pPr>
        <w:pStyle w:val="BodyText"/>
        <w:spacing w:line="360" w:lineRule="auto"/>
        <w:ind w:left="300" w:right="316"/>
        <w:jc w:val="both"/>
      </w:pPr>
      <w:r>
        <w:rPr/>
        <w:t>Proteins are usually ionized using soft ionization techniques, MALDI and ESI. These methods yield quasimolecular ions that allow identification of proteins in complex mixtures. For determining their sequences, however, proteins need to be fragmented. The idea behind protein sequencing using MS is very straight forward and is summarized in Figure 13.4. Briefly, a protein quasimolecular ion is selected using a mass analyzer. The selected ion is then fragmented, typically in a collision cell (collision induced dissociation). Collision induced dissociation results in a large number of fragments that also have overlapping amino acid sequences. These daughter ions are then detected by a second mass analyzer. Mass of a fragment comprises the information for its amino acid composition. Masses of the overlapping fragments allow sequencing of the complete</w:t>
      </w:r>
      <w:r>
        <w:rPr>
          <w:spacing w:val="-6"/>
        </w:rPr>
        <w:t> </w:t>
      </w:r>
      <w:r>
        <w:rPr/>
        <w:t>molecule.</w:t>
      </w:r>
    </w:p>
    <w:p>
      <w:pPr>
        <w:spacing w:after="0" w:line="360" w:lineRule="auto"/>
        <w:jc w:val="both"/>
        <w:sectPr>
          <w:pgSz w:w="11910" w:h="16840"/>
          <w:pgMar w:header="722" w:footer="748" w:top="1300" w:bottom="940" w:left="1500" w:right="1480"/>
        </w:sectPr>
      </w:pPr>
    </w:p>
    <w:p>
      <w:pPr>
        <w:pStyle w:val="BodyText"/>
        <w:spacing w:before="7"/>
        <w:rPr>
          <w:sz w:val="13"/>
        </w:rPr>
      </w:pPr>
    </w:p>
    <w:p>
      <w:pPr>
        <w:pStyle w:val="BodyText"/>
        <w:ind w:left="578"/>
        <w:rPr>
          <w:sz w:val="20"/>
        </w:rPr>
      </w:pPr>
      <w:r>
        <w:rPr>
          <w:sz w:val="20"/>
        </w:rPr>
        <w:drawing>
          <wp:inline distT="0" distB="0" distL="0" distR="0">
            <wp:extent cx="4822378" cy="3096768"/>
            <wp:effectExtent l="0" t="0" r="0" b="0"/>
            <wp:docPr id="169" name="image89.png" descr="Figure 13.4.tif"/>
            <wp:cNvGraphicFramePr>
              <a:graphicFrameLocks noChangeAspect="1"/>
            </wp:cNvGraphicFramePr>
            <a:graphic>
              <a:graphicData uri="http://schemas.openxmlformats.org/drawingml/2006/picture">
                <pic:pic>
                  <pic:nvPicPr>
                    <pic:cNvPr id="170" name="image89.png"/>
                    <pic:cNvPicPr/>
                  </pic:nvPicPr>
                  <pic:blipFill>
                    <a:blip r:embed="rId97" cstate="print"/>
                    <a:stretch>
                      <a:fillRect/>
                    </a:stretch>
                  </pic:blipFill>
                  <pic:spPr>
                    <a:xfrm>
                      <a:off x="0" y="0"/>
                      <a:ext cx="4822378" cy="3096768"/>
                    </a:xfrm>
                    <a:prstGeom prst="rect">
                      <a:avLst/>
                    </a:prstGeom>
                  </pic:spPr>
                </pic:pic>
              </a:graphicData>
            </a:graphic>
          </wp:inline>
        </w:drawing>
      </w:r>
      <w:r>
        <w:rPr>
          <w:sz w:val="20"/>
        </w:rPr>
      </w:r>
    </w:p>
    <w:p>
      <w:pPr>
        <w:pStyle w:val="BodyText"/>
        <w:rPr>
          <w:sz w:val="20"/>
        </w:rPr>
      </w:pPr>
    </w:p>
    <w:p>
      <w:pPr>
        <w:pStyle w:val="BodyText"/>
        <w:spacing w:before="9"/>
        <w:rPr>
          <w:sz w:val="12"/>
        </w:rPr>
      </w:pPr>
    </w:p>
    <w:tbl>
      <w:tblPr>
        <w:tblW w:w="0" w:type="auto"/>
        <w:jc w:val="left"/>
        <w:tblInd w:w="3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323"/>
      </w:tblGrid>
      <w:tr>
        <w:trPr>
          <w:trHeight w:val="947" w:hRule="atLeast"/>
        </w:trPr>
        <w:tc>
          <w:tcPr>
            <w:tcW w:w="8323" w:type="dxa"/>
          </w:tcPr>
          <w:p>
            <w:pPr>
              <w:pStyle w:val="TableParagraph"/>
              <w:spacing w:line="178" w:lineRule="exact"/>
              <w:ind w:left="2050" w:right="2050"/>
              <w:jc w:val="center"/>
              <w:rPr>
                <w:b/>
                <w:sz w:val="16"/>
              </w:rPr>
            </w:pPr>
            <w:r>
              <w:rPr>
                <w:b/>
                <w:sz w:val="16"/>
              </w:rPr>
              <w:t>Figure 13.4 Principle of protein sequencing using tandem MS</w:t>
            </w:r>
          </w:p>
        </w:tc>
      </w:tr>
      <w:tr>
        <w:trPr>
          <w:trHeight w:val="7612" w:hRule="atLeast"/>
        </w:trPr>
        <w:tc>
          <w:tcPr>
            <w:tcW w:w="8323" w:type="dxa"/>
            <w:shd w:val="clear" w:color="auto" w:fill="DADADA"/>
          </w:tcPr>
          <w:p>
            <w:pPr>
              <w:pStyle w:val="TableParagraph"/>
              <w:spacing w:line="275" w:lineRule="exact"/>
              <w:ind w:left="2049" w:right="2050"/>
              <w:jc w:val="center"/>
              <w:rPr>
                <w:b/>
                <w:sz w:val="24"/>
              </w:rPr>
            </w:pPr>
            <w:r>
              <w:rPr>
                <w:b/>
                <w:sz w:val="24"/>
              </w:rPr>
              <w:t>Box 13.1: Peptide fragmentation</w:t>
            </w:r>
          </w:p>
          <w:p>
            <w:pPr>
              <w:pStyle w:val="TableParagraph"/>
              <w:spacing w:line="240" w:lineRule="auto" w:before="9"/>
              <w:ind w:left="0"/>
              <w:rPr>
                <w:sz w:val="28"/>
              </w:rPr>
            </w:pPr>
          </w:p>
          <w:p>
            <w:pPr>
              <w:pStyle w:val="TableParagraph"/>
              <w:spacing w:line="360" w:lineRule="auto"/>
              <w:ind w:left="105" w:right="105"/>
              <w:jc w:val="both"/>
              <w:rPr>
                <w:sz w:val="24"/>
              </w:rPr>
            </w:pPr>
            <w:r>
              <w:rPr>
                <w:sz w:val="24"/>
              </w:rPr>
              <w:t>Fragmentation of peptides in a collision cell occurs in a well-defined manner; the fragmentation largely occurs along the peptide backbone with some side-chain fragmentation. The cleavage along the peptide backbone can occur at NH–C</w:t>
            </w:r>
            <w:r>
              <w:rPr>
                <w:sz w:val="24"/>
                <w:vertAlign w:val="subscript"/>
              </w:rPr>
              <w:t>α</w:t>
            </w:r>
            <w:r>
              <w:rPr>
                <w:sz w:val="24"/>
                <w:vertAlign w:val="baseline"/>
              </w:rPr>
              <w:t>, C</w:t>
            </w:r>
            <w:r>
              <w:rPr>
                <w:sz w:val="24"/>
                <w:vertAlign w:val="subscript"/>
              </w:rPr>
              <w:t>α</w:t>
            </w:r>
            <w:r>
              <w:rPr>
                <w:sz w:val="24"/>
                <w:vertAlign w:val="baseline"/>
              </w:rPr>
              <w:t>- CO, and CO–NH bonds. Each cleavage produces two species, one of which is charged and the other one neutral. As the charge can lie on any of the species produced, six different types of ions are generated. The nomenclature of these ions is shown in the figure</w:t>
            </w:r>
            <w:r>
              <w:rPr>
                <w:spacing w:val="-3"/>
                <w:sz w:val="24"/>
                <w:vertAlign w:val="baseline"/>
              </w:rPr>
              <w:t> </w:t>
            </w:r>
            <w:r>
              <w:rPr>
                <w:sz w:val="24"/>
                <w:vertAlign w:val="baseline"/>
              </w:rPr>
              <w:t>below:</w:t>
            </w:r>
          </w:p>
          <w:p>
            <w:pPr>
              <w:pStyle w:val="TableParagraph"/>
              <w:spacing w:line="240" w:lineRule="auto" w:before="3"/>
              <w:ind w:left="0"/>
              <w:rPr>
                <w:sz w:val="18"/>
              </w:rPr>
            </w:pPr>
          </w:p>
          <w:p>
            <w:pPr>
              <w:pStyle w:val="TableParagraph"/>
              <w:spacing w:line="240" w:lineRule="auto"/>
              <w:ind w:left="2274"/>
              <w:rPr>
                <w:sz w:val="20"/>
              </w:rPr>
            </w:pPr>
            <w:r>
              <w:rPr>
                <w:sz w:val="20"/>
              </w:rPr>
              <w:drawing>
                <wp:inline distT="0" distB="0" distL="0" distR="0">
                  <wp:extent cx="2428866" cy="1093851"/>
                  <wp:effectExtent l="0" t="0" r="0" b="0"/>
                  <wp:docPr id="171" name="image90.png" descr="Box 13.1.tif"/>
                  <wp:cNvGraphicFramePr>
                    <a:graphicFrameLocks noChangeAspect="1"/>
                  </wp:cNvGraphicFramePr>
                  <a:graphic>
                    <a:graphicData uri="http://schemas.openxmlformats.org/drawingml/2006/picture">
                      <pic:pic>
                        <pic:nvPicPr>
                          <pic:cNvPr id="172" name="image90.png"/>
                          <pic:cNvPicPr/>
                        </pic:nvPicPr>
                        <pic:blipFill>
                          <a:blip r:embed="rId98" cstate="print"/>
                          <a:stretch>
                            <a:fillRect/>
                          </a:stretch>
                        </pic:blipFill>
                        <pic:spPr>
                          <a:xfrm>
                            <a:off x="0" y="0"/>
                            <a:ext cx="2428866" cy="1093851"/>
                          </a:xfrm>
                          <a:prstGeom prst="rect">
                            <a:avLst/>
                          </a:prstGeom>
                        </pic:spPr>
                      </pic:pic>
                    </a:graphicData>
                  </a:graphic>
                </wp:inline>
              </w:drawing>
            </w:r>
            <w:r>
              <w:rPr>
                <w:sz w:val="20"/>
              </w:rPr>
            </w:r>
          </w:p>
          <w:p>
            <w:pPr>
              <w:pStyle w:val="TableParagraph"/>
              <w:spacing w:line="240" w:lineRule="auto" w:before="4"/>
              <w:ind w:left="0"/>
              <w:rPr>
                <w:sz w:val="27"/>
              </w:rPr>
            </w:pPr>
          </w:p>
          <w:p>
            <w:pPr>
              <w:pStyle w:val="TableParagraph"/>
              <w:spacing w:line="360" w:lineRule="auto"/>
              <w:ind w:left="105" w:right="104"/>
              <w:jc w:val="both"/>
              <w:rPr>
                <w:sz w:val="24"/>
              </w:rPr>
            </w:pPr>
            <w:r>
              <w:rPr>
                <w:sz w:val="24"/>
              </w:rPr>
              <w:t>CO-NH is the most common cleave site. The difference in the masses of the adjacent b ions or y ions enables identification of the terminal amino acids thereby providing sequence information. Side-chain fragmentation is also useful as it provides information about side-chain modifications, if</w:t>
            </w:r>
            <w:r>
              <w:rPr>
                <w:spacing w:val="-3"/>
                <w:sz w:val="24"/>
              </w:rPr>
              <w:t> </w:t>
            </w:r>
            <w:r>
              <w:rPr>
                <w:sz w:val="24"/>
              </w:rPr>
              <w:t>any.</w:t>
            </w:r>
          </w:p>
        </w:tc>
      </w:tr>
    </w:tbl>
    <w:p>
      <w:pPr>
        <w:spacing w:after="0" w:line="360" w:lineRule="auto"/>
        <w:jc w:val="both"/>
        <w:rPr>
          <w:sz w:val="24"/>
        </w:rPr>
        <w:sectPr>
          <w:pgSz w:w="11910" w:h="16840"/>
          <w:pgMar w:header="722" w:footer="748" w:top="1300" w:bottom="940" w:left="1500" w:right="1480"/>
        </w:sectPr>
      </w:pPr>
    </w:p>
    <w:p>
      <w:pPr>
        <w:pStyle w:val="BodyText"/>
        <w:spacing w:line="360" w:lineRule="auto" w:before="119"/>
        <w:ind w:left="300" w:right="315"/>
        <w:jc w:val="both"/>
      </w:pPr>
      <w:r>
        <w:rPr>
          <w:i/>
        </w:rPr>
        <w:t>Protein identification: </w:t>
      </w:r>
      <w:r>
        <w:rPr/>
        <w:t>Identification of a protein classically requires complete or partial protein sequence. A partial sequence can allow protein identification by comparing it with the sequences of the proteins available in protein sequence databases. A protein can therefore be identified by doing sequencing using MS. However, it may not be required to determine the sequence of a protein for its identification. A typical scheme for protein identification is shown in Figure 13.5.</w:t>
      </w:r>
    </w:p>
    <w:p>
      <w:pPr>
        <w:pStyle w:val="BodyText"/>
        <w:rPr>
          <w:sz w:val="20"/>
        </w:rPr>
      </w:pPr>
    </w:p>
    <w:p>
      <w:pPr>
        <w:pStyle w:val="BodyText"/>
        <w:rPr>
          <w:sz w:val="20"/>
        </w:rPr>
      </w:pPr>
    </w:p>
    <w:p>
      <w:pPr>
        <w:pStyle w:val="BodyText"/>
        <w:rPr>
          <w:sz w:val="20"/>
        </w:rPr>
      </w:pPr>
    </w:p>
    <w:p>
      <w:pPr>
        <w:pStyle w:val="BodyText"/>
        <w:rPr>
          <w:sz w:val="11"/>
        </w:rPr>
      </w:pPr>
      <w:r>
        <w:rPr/>
        <w:drawing>
          <wp:anchor distT="0" distB="0" distL="0" distR="0" allowOverlap="1" layoutInCell="1" locked="0" behindDoc="0" simplePos="0" relativeHeight="212">
            <wp:simplePos x="0" y="0"/>
            <wp:positionH relativeFrom="page">
              <wp:posOffset>1421403</wp:posOffset>
            </wp:positionH>
            <wp:positionV relativeFrom="paragraph">
              <wp:posOffset>105607</wp:posOffset>
            </wp:positionV>
            <wp:extent cx="4934066" cy="4044315"/>
            <wp:effectExtent l="0" t="0" r="0" b="0"/>
            <wp:wrapTopAndBottom/>
            <wp:docPr id="173" name="image91.png" descr="Figure 13.5.tif"/>
            <wp:cNvGraphicFramePr>
              <a:graphicFrameLocks noChangeAspect="1"/>
            </wp:cNvGraphicFramePr>
            <a:graphic>
              <a:graphicData uri="http://schemas.openxmlformats.org/drawingml/2006/picture">
                <pic:pic>
                  <pic:nvPicPr>
                    <pic:cNvPr id="174" name="image91.png"/>
                    <pic:cNvPicPr/>
                  </pic:nvPicPr>
                  <pic:blipFill>
                    <a:blip r:embed="rId99" cstate="print"/>
                    <a:stretch>
                      <a:fillRect/>
                    </a:stretch>
                  </pic:blipFill>
                  <pic:spPr>
                    <a:xfrm>
                      <a:off x="0" y="0"/>
                      <a:ext cx="4934066" cy="4044315"/>
                    </a:xfrm>
                    <a:prstGeom prst="rect">
                      <a:avLst/>
                    </a:prstGeom>
                  </pic:spPr>
                </pic:pic>
              </a:graphicData>
            </a:graphic>
          </wp:anchor>
        </w:drawing>
      </w:r>
    </w:p>
    <w:p>
      <w:pPr>
        <w:pStyle w:val="BodyText"/>
        <w:spacing w:before="6"/>
      </w:pPr>
    </w:p>
    <w:p>
      <w:pPr>
        <w:spacing w:before="1"/>
        <w:ind w:left="792" w:right="617" w:firstLine="0"/>
        <w:jc w:val="center"/>
        <w:rPr>
          <w:b/>
          <w:sz w:val="16"/>
        </w:rPr>
      </w:pPr>
      <w:r>
        <w:rPr>
          <w:b/>
          <w:sz w:val="16"/>
        </w:rPr>
        <w:t>Figure 13.5 Protein identification using mass spectrometry</w:t>
      </w:r>
    </w:p>
    <w:p>
      <w:pPr>
        <w:pStyle w:val="BodyText"/>
        <w:rPr>
          <w:b/>
          <w:sz w:val="18"/>
        </w:rPr>
      </w:pPr>
    </w:p>
    <w:p>
      <w:pPr>
        <w:pStyle w:val="BodyText"/>
        <w:rPr>
          <w:b/>
          <w:sz w:val="18"/>
        </w:rPr>
      </w:pPr>
    </w:p>
    <w:p>
      <w:pPr>
        <w:pStyle w:val="BodyText"/>
        <w:rPr>
          <w:b/>
          <w:sz w:val="18"/>
        </w:rPr>
      </w:pPr>
    </w:p>
    <w:p>
      <w:pPr>
        <w:pStyle w:val="BodyText"/>
        <w:spacing w:before="3"/>
        <w:rPr>
          <w:b/>
        </w:rPr>
      </w:pPr>
    </w:p>
    <w:p>
      <w:pPr>
        <w:pStyle w:val="BodyText"/>
        <w:spacing w:line="360" w:lineRule="auto"/>
        <w:ind w:left="299" w:right="315"/>
        <w:jc w:val="both"/>
      </w:pPr>
      <w:r>
        <w:rPr/>
        <w:t>A protein is cleaved into smaller peptide fragments using a sequence specific enzyme, usually trypsin or chymotrypsin. Trypsin cleaves at the C-terminal side of lysine and arginine residues while chymotrypsin cleaves at the C-terminal side of aromatic amino acids, phenylalanine, tyrosine, and tryptophan. The masses of these fragments are then searched in peptide mass databases. This method is termed as the </w:t>
      </w:r>
      <w:r>
        <w:rPr>
          <w:i/>
        </w:rPr>
        <w:t>peptide </w:t>
      </w:r>
      <w:r>
        <w:rPr>
          <w:i/>
        </w:rPr>
        <w:t>mass fingerprinting</w:t>
      </w:r>
      <w:r>
        <w:rPr/>
        <w:t>. If no match is found in the databases, the peptides are sequenced using another MS as discussed earlier; the protein is identified by searching</w:t>
      </w:r>
      <w:r>
        <w:rPr>
          <w:spacing w:val="11"/>
        </w:rPr>
        <w:t> </w:t>
      </w:r>
      <w:r>
        <w:rPr/>
        <w:t>the</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3"/>
        <w:jc w:val="both"/>
      </w:pPr>
      <w:r>
        <w:rPr/>
        <w:t>sequences of the fragments in the protein sequences databases. Protein identification using MS is central to the proteomic studies. A typical proteomic analysis is briefly summarized in Figure 13.6</w:t>
      </w:r>
    </w:p>
    <w:p>
      <w:pPr>
        <w:pStyle w:val="BodyText"/>
        <w:spacing w:before="9"/>
        <w:rPr>
          <w:sz w:val="19"/>
        </w:rPr>
      </w:pPr>
      <w:r>
        <w:rPr/>
        <w:drawing>
          <wp:anchor distT="0" distB="0" distL="0" distR="0" allowOverlap="1" layoutInCell="1" locked="0" behindDoc="0" simplePos="0" relativeHeight="213">
            <wp:simplePos x="0" y="0"/>
            <wp:positionH relativeFrom="page">
              <wp:posOffset>1320133</wp:posOffset>
            </wp:positionH>
            <wp:positionV relativeFrom="paragraph">
              <wp:posOffset>169395</wp:posOffset>
            </wp:positionV>
            <wp:extent cx="5151490" cy="2298192"/>
            <wp:effectExtent l="0" t="0" r="0" b="0"/>
            <wp:wrapTopAndBottom/>
            <wp:docPr id="175" name="image92.png" descr="Figure 13.6.tif"/>
            <wp:cNvGraphicFramePr>
              <a:graphicFrameLocks noChangeAspect="1"/>
            </wp:cNvGraphicFramePr>
            <a:graphic>
              <a:graphicData uri="http://schemas.openxmlformats.org/drawingml/2006/picture">
                <pic:pic>
                  <pic:nvPicPr>
                    <pic:cNvPr id="176" name="image92.png"/>
                    <pic:cNvPicPr/>
                  </pic:nvPicPr>
                  <pic:blipFill>
                    <a:blip r:embed="rId100" cstate="print"/>
                    <a:stretch>
                      <a:fillRect/>
                    </a:stretch>
                  </pic:blipFill>
                  <pic:spPr>
                    <a:xfrm>
                      <a:off x="0" y="0"/>
                      <a:ext cx="5151490" cy="2298192"/>
                    </a:xfrm>
                    <a:prstGeom prst="rect">
                      <a:avLst/>
                    </a:prstGeom>
                  </pic:spPr>
                </pic:pic>
              </a:graphicData>
            </a:graphic>
          </wp:anchor>
        </w:drawing>
      </w:r>
    </w:p>
    <w:p>
      <w:pPr>
        <w:pStyle w:val="BodyText"/>
        <w:rPr>
          <w:sz w:val="26"/>
        </w:rPr>
      </w:pPr>
    </w:p>
    <w:p>
      <w:pPr>
        <w:pStyle w:val="BodyText"/>
        <w:spacing w:before="4"/>
        <w:rPr>
          <w:sz w:val="22"/>
        </w:rPr>
      </w:pPr>
    </w:p>
    <w:p>
      <w:pPr>
        <w:spacing w:before="0"/>
        <w:ind w:left="789" w:right="617" w:firstLine="0"/>
        <w:jc w:val="center"/>
        <w:rPr>
          <w:b/>
          <w:sz w:val="16"/>
        </w:rPr>
      </w:pPr>
      <w:r>
        <w:rPr>
          <w:b/>
          <w:sz w:val="16"/>
        </w:rPr>
        <w:t>Figure 13.6 Outline of a proteomics experiment</w:t>
      </w:r>
    </w:p>
    <w:p>
      <w:pPr>
        <w:pStyle w:val="BodyText"/>
        <w:rPr>
          <w:b/>
          <w:sz w:val="18"/>
        </w:rPr>
      </w:pPr>
    </w:p>
    <w:p>
      <w:pPr>
        <w:pStyle w:val="BodyText"/>
        <w:rPr>
          <w:b/>
          <w:sz w:val="18"/>
        </w:rPr>
      </w:pPr>
    </w:p>
    <w:p>
      <w:pPr>
        <w:pStyle w:val="BodyText"/>
        <w:rPr>
          <w:b/>
          <w:sz w:val="18"/>
        </w:rPr>
      </w:pPr>
    </w:p>
    <w:p>
      <w:pPr>
        <w:pStyle w:val="BodyText"/>
        <w:spacing w:line="360" w:lineRule="auto" w:before="143"/>
        <w:ind w:left="299" w:right="313"/>
        <w:jc w:val="both"/>
      </w:pPr>
      <w:r>
        <w:rPr>
          <w:i/>
        </w:rPr>
        <w:t>Non-covalent protein complexes: </w:t>
      </w:r>
      <w:r>
        <w:rPr/>
        <w:t>Non-covalent interactions between the molecules are usually disrupted during ionization. ESI, however, has proved to be sufficiently soft for allowing detection of the protein complexes. </w:t>
      </w:r>
      <w:r>
        <w:rPr>
          <w:spacing w:val="-3"/>
        </w:rPr>
        <w:t>It </w:t>
      </w:r>
      <w:r>
        <w:rPr/>
        <w:t>is, however, important to note that the complexes of biomolecules detected in gas phase may not represent the true solution complexes. The structures of the molecules in solution and the interactions they are involved in are determined by the complex interplay of hydrogen bonding, hydrophobic interactions, van der Waals forces, and electrostatic interactions. </w:t>
      </w:r>
      <w:r>
        <w:rPr>
          <w:spacing w:val="-3"/>
        </w:rPr>
        <w:t>In </w:t>
      </w:r>
      <w:r>
        <w:rPr/>
        <w:t>gas phase under high vacuum, the electrostatic interactions are usually the most predominant ones. One therefore has to be careful while analyzing the data for the non-covalent</w:t>
      </w:r>
      <w:r>
        <w:rPr>
          <w:spacing w:val="-1"/>
        </w:rPr>
        <w:t> </w:t>
      </w:r>
      <w:r>
        <w:rPr/>
        <w:t>complexes.</w:t>
      </w:r>
    </w:p>
    <w:p>
      <w:pPr>
        <w:pStyle w:val="BodyText"/>
        <w:spacing w:line="360" w:lineRule="auto" w:before="199"/>
        <w:ind w:left="299" w:right="315"/>
        <w:jc w:val="both"/>
      </w:pPr>
      <w:r>
        <w:rPr>
          <w:i/>
        </w:rPr>
        <w:t>Three dimensional structures of proteins and peptides: </w:t>
      </w:r>
      <w:r>
        <w:rPr/>
        <w:t>Mass spectrometry can provide information about the three dimensional structure of a protein. Consider a protein that is being analyzed using ESI-MS. An unfolded protein usually shows a broader charge distribution with higher amount of charge due to larger solvent- accessible area and the exposed ionization sites. Another approach includes structural analysis of the proteins after subjecting them to the conformation sensitive reactions. Hydrogen-deuterium exchange (H/D exchange) is the most widely used such</w:t>
      </w:r>
      <w:r>
        <w:rPr>
          <w:spacing w:val="3"/>
        </w:rPr>
        <w:t> </w:t>
      </w:r>
      <w:r>
        <w:rPr/>
        <w:t>reaction.</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5"/>
        <w:jc w:val="both"/>
      </w:pPr>
      <w:r>
        <w:rPr/>
        <w:t>The exposed regions on a protein will readily exchange their amide hydrogens with deuterium. The amides that are involved in backbone H-bonding (</w:t>
      </w:r>
      <w:r>
        <w:rPr>
          <w:i/>
        </w:rPr>
        <w:t>i.e. </w:t>
      </w:r>
      <w:r>
        <w:rPr/>
        <w:t>those involved in secondary structures) exchange their hydrogens very slowly. The folded regions in the protein can then be identified by analyzing the peptide fragments using tandem mass spectrometry. These approaches also allow study of the folding processes of proteins.</w:t>
      </w:r>
    </w:p>
    <w:p>
      <w:pPr>
        <w:spacing w:after="0" w:line="360" w:lineRule="auto"/>
        <w:jc w:val="both"/>
        <w:sectPr>
          <w:pgSz w:w="11910" w:h="16840"/>
          <w:pgMar w:header="722" w:footer="748" w:top="1300" w:bottom="940" w:left="1500" w:right="1480"/>
        </w:sectPr>
      </w:pPr>
    </w:p>
    <w:p>
      <w:pPr>
        <w:pStyle w:val="Heading2"/>
        <w:spacing w:line="489" w:lineRule="auto"/>
        <w:ind w:left="299" w:right="4033"/>
        <w:jc w:val="left"/>
      </w:pPr>
      <w:r>
        <w:rPr/>
        <w:t>Module 3 Microscopic techniques Lecture 14 Light Microscopy-I</w:t>
      </w:r>
    </w:p>
    <w:p>
      <w:pPr>
        <w:pStyle w:val="BodyText"/>
        <w:spacing w:line="360" w:lineRule="auto"/>
        <w:ind w:left="300" w:right="316"/>
        <w:jc w:val="both"/>
      </w:pPr>
      <w:r>
        <w:rPr/>
        <w:t>Microscopy comprises of the tools that are used to see/image the microscopic objects and even macromolecules. There exists a wide variety of microscopic tools for studying the biomolecules and biological processes. Light microscopy is the simplest form of microscopy. It includes all forms of microscopic methods that use electromagnetic radiation to achieve magnification. In this lecture, we shall be discussing the principles of microscopy.</w:t>
      </w:r>
    </w:p>
    <w:p>
      <w:pPr>
        <w:pStyle w:val="Heading4"/>
        <w:spacing w:before="203"/>
      </w:pPr>
      <w:r>
        <w:rPr/>
        <w:t>Geometrical optics</w:t>
      </w:r>
    </w:p>
    <w:p>
      <w:pPr>
        <w:pStyle w:val="BodyText"/>
        <w:rPr>
          <w:b/>
          <w:sz w:val="29"/>
        </w:rPr>
      </w:pPr>
    </w:p>
    <w:p>
      <w:pPr>
        <w:pStyle w:val="BodyText"/>
        <w:spacing w:line="360" w:lineRule="auto"/>
        <w:ind w:left="300" w:right="318"/>
        <w:jc w:val="both"/>
      </w:pPr>
      <w:r>
        <w:rPr/>
        <w:t>Light microscopy uses glass for bending and focusing the light. Refraction (bending) of light is the manifestation of different light velocities in different materials. Refractive index of a material is therefore a measure of the velocity of light in that material. The bending caused in the light beam when it enters from one material into another is given by the Snell’s law (Figure 14.1):</w:t>
      </w:r>
    </w:p>
    <w:p>
      <w:pPr>
        <w:pStyle w:val="BodyText"/>
        <w:spacing w:before="8"/>
        <w:rPr>
          <w:sz w:val="14"/>
        </w:rPr>
      </w:pPr>
      <w:r>
        <w:rPr/>
        <w:drawing>
          <wp:anchor distT="0" distB="0" distL="0" distR="0" allowOverlap="1" layoutInCell="1" locked="0" behindDoc="0" simplePos="0" relativeHeight="214">
            <wp:simplePos x="0" y="0"/>
            <wp:positionH relativeFrom="page">
              <wp:posOffset>2786291</wp:posOffset>
            </wp:positionH>
            <wp:positionV relativeFrom="paragraph">
              <wp:posOffset>132598</wp:posOffset>
            </wp:positionV>
            <wp:extent cx="2158086" cy="1701545"/>
            <wp:effectExtent l="0" t="0" r="0" b="0"/>
            <wp:wrapTopAndBottom/>
            <wp:docPr id="177" name="image93.jpeg" descr="Figure 14.1.tif"/>
            <wp:cNvGraphicFramePr>
              <a:graphicFrameLocks noChangeAspect="1"/>
            </wp:cNvGraphicFramePr>
            <a:graphic>
              <a:graphicData uri="http://schemas.openxmlformats.org/drawingml/2006/picture">
                <pic:pic>
                  <pic:nvPicPr>
                    <pic:cNvPr id="178" name="image93.jpeg"/>
                    <pic:cNvPicPr/>
                  </pic:nvPicPr>
                  <pic:blipFill>
                    <a:blip r:embed="rId103" cstate="print"/>
                    <a:stretch>
                      <a:fillRect/>
                    </a:stretch>
                  </pic:blipFill>
                  <pic:spPr>
                    <a:xfrm>
                      <a:off x="0" y="0"/>
                      <a:ext cx="2158086" cy="1701545"/>
                    </a:xfrm>
                    <a:prstGeom prst="rect">
                      <a:avLst/>
                    </a:prstGeom>
                  </pic:spPr>
                </pic:pic>
              </a:graphicData>
            </a:graphic>
          </wp:anchor>
        </w:drawing>
      </w:r>
    </w:p>
    <w:p>
      <w:pPr>
        <w:pStyle w:val="BodyText"/>
        <w:spacing w:before="10"/>
      </w:pPr>
    </w:p>
    <w:p>
      <w:pPr>
        <w:spacing w:before="0"/>
        <w:ind w:left="792" w:right="617" w:firstLine="0"/>
        <w:jc w:val="center"/>
        <w:rPr>
          <w:b/>
          <w:sz w:val="16"/>
        </w:rPr>
      </w:pPr>
      <w:r>
        <w:rPr>
          <w:b/>
          <w:sz w:val="16"/>
        </w:rPr>
        <w:t>Figure 14.1 Snell’s law</w:t>
      </w:r>
    </w:p>
    <w:p>
      <w:pPr>
        <w:spacing w:after="0"/>
        <w:jc w:val="center"/>
        <w:rPr>
          <w:sz w:val="16"/>
        </w:rPr>
        <w:sectPr>
          <w:headerReference w:type="default" r:id="rId101"/>
          <w:footerReference w:type="default" r:id="rId102"/>
          <w:pgSz w:w="11910" w:h="16840"/>
          <w:pgMar w:header="722" w:footer="748" w:top="1300" w:bottom="940" w:left="1500" w:right="1480"/>
          <w:pgNumType w:start="1"/>
        </w:sectPr>
      </w:pPr>
    </w:p>
    <w:p>
      <w:pPr>
        <w:pStyle w:val="BodyText"/>
        <w:spacing w:line="360" w:lineRule="auto" w:before="119"/>
        <w:ind w:left="300" w:right="317"/>
        <w:jc w:val="both"/>
      </w:pPr>
      <w:r>
        <w:rPr/>
        <w:t>A convex lens is the simplest microscope. Figure 14.2 shows how a convex lens produces a magnified image of an object. A light ray parallel to the optical axis of the lens passes through the focus of the lens while a ray passing through the centre of the lens does not bend.</w:t>
      </w:r>
    </w:p>
    <w:p>
      <w:pPr>
        <w:pStyle w:val="BodyText"/>
        <w:spacing w:before="9"/>
        <w:rPr>
          <w:sz w:val="14"/>
        </w:rPr>
      </w:pPr>
      <w:r>
        <w:rPr/>
        <w:drawing>
          <wp:anchor distT="0" distB="0" distL="0" distR="0" allowOverlap="1" layoutInCell="1" locked="0" behindDoc="0" simplePos="0" relativeHeight="215">
            <wp:simplePos x="0" y="0"/>
            <wp:positionH relativeFrom="page">
              <wp:posOffset>1929886</wp:posOffset>
            </wp:positionH>
            <wp:positionV relativeFrom="paragraph">
              <wp:posOffset>133090</wp:posOffset>
            </wp:positionV>
            <wp:extent cx="3883041" cy="1123188"/>
            <wp:effectExtent l="0" t="0" r="0" b="0"/>
            <wp:wrapTopAndBottom/>
            <wp:docPr id="179" name="image94.jpeg" descr="Figure 14.2.tif"/>
            <wp:cNvGraphicFramePr>
              <a:graphicFrameLocks noChangeAspect="1"/>
            </wp:cNvGraphicFramePr>
            <a:graphic>
              <a:graphicData uri="http://schemas.openxmlformats.org/drawingml/2006/picture">
                <pic:pic>
                  <pic:nvPicPr>
                    <pic:cNvPr id="180" name="image94.jpeg"/>
                    <pic:cNvPicPr/>
                  </pic:nvPicPr>
                  <pic:blipFill>
                    <a:blip r:embed="rId104" cstate="print"/>
                    <a:stretch>
                      <a:fillRect/>
                    </a:stretch>
                  </pic:blipFill>
                  <pic:spPr>
                    <a:xfrm>
                      <a:off x="0" y="0"/>
                      <a:ext cx="3883041" cy="1123188"/>
                    </a:xfrm>
                    <a:prstGeom prst="rect">
                      <a:avLst/>
                    </a:prstGeom>
                  </pic:spPr>
                </pic:pic>
              </a:graphicData>
            </a:graphic>
          </wp:anchor>
        </w:drawing>
      </w:r>
    </w:p>
    <w:p>
      <w:pPr>
        <w:pStyle w:val="BodyText"/>
        <w:spacing w:before="8"/>
        <w:rPr>
          <w:sz w:val="26"/>
        </w:rPr>
      </w:pPr>
    </w:p>
    <w:p>
      <w:pPr>
        <w:spacing w:before="0"/>
        <w:ind w:left="792" w:right="617" w:firstLine="0"/>
        <w:jc w:val="center"/>
        <w:rPr>
          <w:b/>
          <w:sz w:val="16"/>
        </w:rPr>
      </w:pPr>
      <w:r>
        <w:rPr>
          <w:b/>
          <w:sz w:val="16"/>
        </w:rPr>
        <w:t>Figure 14.2 Magnification of an object by a convex lens</w:t>
      </w:r>
    </w:p>
    <w:p>
      <w:pPr>
        <w:pStyle w:val="BodyText"/>
        <w:rPr>
          <w:b/>
          <w:sz w:val="18"/>
        </w:rPr>
      </w:pPr>
    </w:p>
    <w:p>
      <w:pPr>
        <w:pStyle w:val="BodyText"/>
        <w:rPr>
          <w:b/>
          <w:sz w:val="18"/>
        </w:rPr>
      </w:pPr>
    </w:p>
    <w:p>
      <w:pPr>
        <w:pStyle w:val="BodyText"/>
        <w:rPr>
          <w:b/>
          <w:sz w:val="18"/>
        </w:rPr>
      </w:pPr>
    </w:p>
    <w:p>
      <w:pPr>
        <w:pStyle w:val="BodyText"/>
        <w:spacing w:before="3"/>
        <w:rPr>
          <w:b/>
        </w:rPr>
      </w:pPr>
    </w:p>
    <w:p>
      <w:pPr>
        <w:pStyle w:val="BodyText"/>
        <w:spacing w:line="360" w:lineRule="auto" w:before="1"/>
        <w:ind w:left="300" w:right="315"/>
        <w:jc w:val="both"/>
      </w:pPr>
      <w:r>
        <w:rPr/>
        <w:t>A microscope that uses two lenses to generate the magnified image of the object is called a compound microscope. The magnified image generated by one lens is further magnified by the second lens (Figure 14.3). Magnification of a compound microscope is the product of the magnification caused by the objective and ocular (eyepiece) lenses:</w:t>
      </w:r>
    </w:p>
    <w:p>
      <w:pPr>
        <w:spacing w:before="201"/>
        <w:ind w:left="3237" w:right="0" w:firstLine="0"/>
        <w:jc w:val="both"/>
        <w:rPr>
          <w:sz w:val="16"/>
        </w:rPr>
      </w:pPr>
      <w:r>
        <w:rPr>
          <w:position w:val="3"/>
          <w:sz w:val="24"/>
        </w:rPr>
        <w:t>M</w:t>
      </w:r>
      <w:r>
        <w:rPr>
          <w:sz w:val="16"/>
        </w:rPr>
        <w:t>final </w:t>
      </w:r>
      <w:r>
        <w:rPr>
          <w:position w:val="3"/>
          <w:sz w:val="24"/>
        </w:rPr>
        <w:t>= M</w:t>
      </w:r>
      <w:r>
        <w:rPr>
          <w:sz w:val="16"/>
        </w:rPr>
        <w:t>objective </w:t>
      </w:r>
      <w:r>
        <w:rPr>
          <w:position w:val="3"/>
          <w:sz w:val="24"/>
        </w:rPr>
        <w:t>× M</w:t>
      </w:r>
      <w:r>
        <w:rPr>
          <w:sz w:val="16"/>
        </w:rPr>
        <w:t>ocular</w:t>
      </w:r>
    </w:p>
    <w:p>
      <w:pPr>
        <w:pStyle w:val="BodyText"/>
        <w:spacing w:before="6"/>
        <w:rPr>
          <w:sz w:val="25"/>
        </w:rPr>
      </w:pPr>
      <w:r>
        <w:rPr/>
        <w:drawing>
          <wp:anchor distT="0" distB="0" distL="0" distR="0" allowOverlap="1" layoutInCell="1" locked="0" behindDoc="0" simplePos="0" relativeHeight="216">
            <wp:simplePos x="0" y="0"/>
            <wp:positionH relativeFrom="page">
              <wp:posOffset>1400632</wp:posOffset>
            </wp:positionH>
            <wp:positionV relativeFrom="paragraph">
              <wp:posOffset>211747</wp:posOffset>
            </wp:positionV>
            <wp:extent cx="4899758" cy="2453354"/>
            <wp:effectExtent l="0" t="0" r="0" b="0"/>
            <wp:wrapTopAndBottom/>
            <wp:docPr id="181" name="image95.jpeg" descr="Figure 14.3.tif"/>
            <wp:cNvGraphicFramePr>
              <a:graphicFrameLocks noChangeAspect="1"/>
            </wp:cNvGraphicFramePr>
            <a:graphic>
              <a:graphicData uri="http://schemas.openxmlformats.org/drawingml/2006/picture">
                <pic:pic>
                  <pic:nvPicPr>
                    <pic:cNvPr id="182" name="image95.jpeg"/>
                    <pic:cNvPicPr/>
                  </pic:nvPicPr>
                  <pic:blipFill>
                    <a:blip r:embed="rId105" cstate="print"/>
                    <a:stretch>
                      <a:fillRect/>
                    </a:stretch>
                  </pic:blipFill>
                  <pic:spPr>
                    <a:xfrm>
                      <a:off x="0" y="0"/>
                      <a:ext cx="4899758" cy="2453354"/>
                    </a:xfrm>
                    <a:prstGeom prst="rect">
                      <a:avLst/>
                    </a:prstGeom>
                  </pic:spPr>
                </pic:pic>
              </a:graphicData>
            </a:graphic>
          </wp:anchor>
        </w:drawing>
      </w:r>
    </w:p>
    <w:p>
      <w:pPr>
        <w:pStyle w:val="BodyText"/>
        <w:spacing w:before="9"/>
        <w:rPr>
          <w:sz w:val="25"/>
        </w:rPr>
      </w:pPr>
    </w:p>
    <w:p>
      <w:pPr>
        <w:spacing w:before="0"/>
        <w:ind w:left="792" w:right="617" w:firstLine="0"/>
        <w:jc w:val="center"/>
        <w:rPr>
          <w:b/>
          <w:sz w:val="16"/>
        </w:rPr>
      </w:pPr>
      <w:r>
        <w:rPr>
          <w:b/>
          <w:sz w:val="16"/>
        </w:rPr>
        <w:t>Figure 14.3 Ray optical diagram of a compound microscope</w:t>
      </w:r>
    </w:p>
    <w:p>
      <w:pPr>
        <w:spacing w:after="0"/>
        <w:jc w:val="center"/>
        <w:rPr>
          <w:sz w:val="16"/>
        </w:rPr>
        <w:sectPr>
          <w:pgSz w:w="11910" w:h="16840"/>
          <w:pgMar w:header="722" w:footer="748" w:top="1300" w:bottom="940" w:left="1500" w:right="1480"/>
        </w:sectPr>
      </w:pPr>
    </w:p>
    <w:p>
      <w:pPr>
        <w:pStyle w:val="Heading4"/>
        <w:spacing w:before="124"/>
        <w:jc w:val="left"/>
      </w:pPr>
      <w:r>
        <w:rPr/>
        <w:t>Resolution of microscope</w:t>
      </w:r>
    </w:p>
    <w:p>
      <w:pPr>
        <w:pStyle w:val="BodyText"/>
        <w:rPr>
          <w:b/>
          <w:sz w:val="29"/>
        </w:rPr>
      </w:pPr>
    </w:p>
    <w:p>
      <w:pPr>
        <w:pStyle w:val="BodyText"/>
        <w:ind w:left="300"/>
      </w:pPr>
      <w:r>
        <w:rPr/>
        <w:pict>
          <v:rect style="position:absolute;margin-left:300.480011pt;margin-top:41.922153pt;width:30.96pt;height:.841pt;mso-position-horizontal-relative:page;mso-position-vertical-relative:paragraph;z-index:-18427904" filled="true" fillcolor="#000000" stroked="false">
            <v:fill type="solid"/>
            <w10:wrap type="none"/>
          </v:rect>
        </w:pict>
      </w:r>
      <w:r>
        <w:rPr/>
        <w:pict>
          <v:rect style="position:absolute;margin-left:349.679993pt;margin-top:41.922153pt;width:23.521pt;height:.841pt;mso-position-horizontal-relative:page;mso-position-vertical-relative:paragraph;z-index:-18427392" filled="true" fillcolor="#000000" stroked="false">
            <v:fill type="solid"/>
            <w10:wrap type="none"/>
          </v:rect>
        </w:pict>
      </w:r>
      <w:r>
        <w:rPr/>
        <w:pict>
          <v:rect style="position:absolute;margin-left:391.440002pt;margin-top:41.922153pt;width:23.521pt;height:.841pt;mso-position-horizontal-relative:page;mso-position-vertical-relative:paragraph;z-index:-18426880" filled="true" fillcolor="#000000" stroked="false">
            <v:fill type="solid"/>
            <w10:wrap type="none"/>
          </v:rect>
        </w:pict>
      </w:r>
      <w:r>
        <w:rPr/>
        <w:drawing>
          <wp:anchor distT="0" distB="0" distL="0" distR="0" allowOverlap="1" layoutInCell="1" locked="0" behindDoc="1" simplePos="0" relativeHeight="484890112">
            <wp:simplePos x="0" y="0"/>
            <wp:positionH relativeFrom="page">
              <wp:posOffset>1176602</wp:posOffset>
            </wp:positionH>
            <wp:positionV relativeFrom="paragraph">
              <wp:posOffset>801734</wp:posOffset>
            </wp:positionV>
            <wp:extent cx="1546839" cy="1751838"/>
            <wp:effectExtent l="0" t="0" r="0" b="0"/>
            <wp:wrapNone/>
            <wp:docPr id="183" name="image96.png" descr="Resolution figure.tif"/>
            <wp:cNvGraphicFramePr>
              <a:graphicFrameLocks noChangeAspect="1"/>
            </wp:cNvGraphicFramePr>
            <a:graphic>
              <a:graphicData uri="http://schemas.openxmlformats.org/drawingml/2006/picture">
                <pic:pic>
                  <pic:nvPicPr>
                    <pic:cNvPr id="184" name="image96.png"/>
                    <pic:cNvPicPr/>
                  </pic:nvPicPr>
                  <pic:blipFill>
                    <a:blip r:embed="rId106" cstate="print"/>
                    <a:stretch>
                      <a:fillRect/>
                    </a:stretch>
                  </pic:blipFill>
                  <pic:spPr>
                    <a:xfrm>
                      <a:off x="0" y="0"/>
                      <a:ext cx="1546839" cy="1751838"/>
                    </a:xfrm>
                    <a:prstGeom prst="rect">
                      <a:avLst/>
                    </a:prstGeom>
                  </pic:spPr>
                </pic:pic>
              </a:graphicData>
            </a:graphic>
          </wp:anchor>
        </w:drawing>
      </w:r>
      <w:r>
        <w:rPr/>
        <w:t>Resolution of a microscope is defined as shown in figure 14.4.</w:t>
      </w:r>
    </w:p>
    <w:p>
      <w:pPr>
        <w:pStyle w:val="BodyText"/>
        <w:spacing w:before="2" w:after="1"/>
        <w:rPr>
          <w:sz w:val="29"/>
        </w:rPr>
      </w:pPr>
    </w:p>
    <w:tbl>
      <w:tblPr>
        <w:tblW w:w="0" w:type="auto"/>
        <w:jc w:val="left"/>
        <w:tblInd w:w="1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709"/>
      </w:tblGrid>
      <w:tr>
        <w:trPr>
          <w:trHeight w:val="4505" w:hRule="atLeast"/>
        </w:trPr>
        <w:tc>
          <w:tcPr>
            <w:tcW w:w="8709" w:type="dxa"/>
          </w:tcPr>
          <w:p>
            <w:pPr>
              <w:pStyle w:val="TableParagraph"/>
              <w:tabs>
                <w:tab w:pos="6946" w:val="left" w:leader="none"/>
              </w:tabs>
              <w:spacing w:line="310" w:lineRule="exact" w:before="30"/>
              <w:ind w:left="3562"/>
              <w:rPr>
                <w:sz w:val="24"/>
              </w:rPr>
            </w:pPr>
            <w:r>
              <w:rPr>
                <w:rFonts w:ascii="Symbola" w:hAnsi="Symbola" w:eastAsia="Symbola"/>
                <w:sz w:val="24"/>
              </w:rPr>
              <w:t>𝑑</w:t>
            </w:r>
            <w:r>
              <w:rPr>
                <w:rFonts w:ascii="Symbola" w:hAnsi="Symbola" w:eastAsia="Symbola"/>
                <w:position w:val="-4"/>
                <w:sz w:val="17"/>
              </w:rPr>
              <w:t>𝑚𝑖𝑛  </w:t>
            </w:r>
            <w:r>
              <w:rPr>
                <w:rFonts w:ascii="Symbola" w:hAnsi="Symbola" w:eastAsia="Symbola"/>
                <w:sz w:val="24"/>
              </w:rPr>
              <w:t>=    </w:t>
            </w:r>
            <w:r>
              <w:rPr>
                <w:rFonts w:ascii="Symbola" w:hAnsi="Symbola" w:eastAsia="Symbola"/>
                <w:position w:val="14"/>
                <w:sz w:val="17"/>
              </w:rPr>
              <w:t>1.22 𝜆    </w:t>
            </w:r>
            <w:r>
              <w:rPr>
                <w:rFonts w:ascii="Symbola" w:hAnsi="Symbola" w:eastAsia="Symbola"/>
                <w:sz w:val="24"/>
              </w:rPr>
              <w:t>=  </w:t>
            </w:r>
            <w:r>
              <w:rPr>
                <w:rFonts w:ascii="Symbola" w:hAnsi="Symbola" w:eastAsia="Symbola"/>
                <w:position w:val="14"/>
                <w:sz w:val="17"/>
              </w:rPr>
              <w:t>1.22 𝜆  </w:t>
            </w:r>
            <w:r>
              <w:rPr>
                <w:rFonts w:ascii="Symbola" w:hAnsi="Symbola" w:eastAsia="Symbola"/>
                <w:sz w:val="24"/>
              </w:rPr>
              <w:t>=</w:t>
            </w:r>
            <w:r>
              <w:rPr>
                <w:rFonts w:ascii="Symbola" w:hAnsi="Symbola" w:eastAsia="Symbola"/>
                <w:spacing w:val="53"/>
                <w:sz w:val="24"/>
              </w:rPr>
              <w:t> </w:t>
            </w:r>
            <w:r>
              <w:rPr>
                <w:rFonts w:ascii="Symbola" w:hAnsi="Symbola" w:eastAsia="Symbola"/>
                <w:position w:val="14"/>
                <w:sz w:val="17"/>
              </w:rPr>
              <w:t>0.61</w:t>
            </w:r>
            <w:r>
              <w:rPr>
                <w:rFonts w:ascii="Symbola" w:hAnsi="Symbola" w:eastAsia="Symbola"/>
                <w:spacing w:val="-1"/>
                <w:position w:val="14"/>
                <w:sz w:val="17"/>
              </w:rPr>
              <w:t> </w:t>
            </w:r>
            <w:r>
              <w:rPr>
                <w:rFonts w:ascii="Symbola" w:hAnsi="Symbola" w:eastAsia="Symbola"/>
                <w:position w:val="14"/>
                <w:sz w:val="17"/>
              </w:rPr>
              <w:t>𝜆</w:t>
              <w:tab/>
            </w:r>
            <w:r>
              <w:rPr>
                <w:spacing w:val="8"/>
                <w:sz w:val="24"/>
              </w:rPr>
              <w:t>···········</w:t>
            </w:r>
            <w:r>
              <w:rPr>
                <w:spacing w:val="12"/>
                <w:sz w:val="24"/>
              </w:rPr>
              <w:t> </w:t>
            </w:r>
            <w:r>
              <w:rPr>
                <w:sz w:val="24"/>
              </w:rPr>
              <w:t>(14.1)</w:t>
            </w:r>
          </w:p>
          <w:p>
            <w:pPr>
              <w:pStyle w:val="TableParagraph"/>
              <w:tabs>
                <w:tab w:pos="5403" w:val="left" w:leader="none"/>
                <w:tab w:pos="6305" w:val="left" w:leader="none"/>
              </w:tabs>
              <w:spacing w:line="120" w:lineRule="exact"/>
              <w:ind w:left="4409"/>
              <w:rPr>
                <w:rFonts w:ascii="Symbola" w:eastAsia="Symbola"/>
                <w:sz w:val="17"/>
              </w:rPr>
            </w:pPr>
            <w:r>
              <w:rPr>
                <w:rFonts w:ascii="Symbola" w:eastAsia="Symbola"/>
                <w:w w:val="105"/>
                <w:sz w:val="17"/>
              </w:rPr>
              <w:t>2𝑛</w:t>
            </w:r>
            <w:r>
              <w:rPr>
                <w:rFonts w:ascii="Symbola" w:eastAsia="Symbola"/>
                <w:spacing w:val="-11"/>
                <w:w w:val="105"/>
                <w:sz w:val="17"/>
              </w:rPr>
              <w:t> </w:t>
            </w:r>
            <w:r>
              <w:rPr>
                <w:rFonts w:ascii="Symbola" w:eastAsia="Symbola"/>
                <w:w w:val="105"/>
                <w:sz w:val="17"/>
              </w:rPr>
              <w:t>𝑠𝑖𝑛𝛼</w:t>
              <w:tab/>
              <w:t>2</w:t>
            </w:r>
            <w:r>
              <w:rPr>
                <w:rFonts w:ascii="Symbola" w:eastAsia="Symbola"/>
                <w:spacing w:val="4"/>
                <w:w w:val="105"/>
                <w:sz w:val="17"/>
              </w:rPr>
              <w:t> </w:t>
            </w:r>
            <w:r>
              <w:rPr>
                <w:rFonts w:ascii="Symbola" w:eastAsia="Symbola"/>
                <w:w w:val="105"/>
                <w:sz w:val="17"/>
              </w:rPr>
              <w:t>𝑁.𝐴.</w:t>
              <w:tab/>
              <w:t>𝑁.𝐴.</w:t>
            </w:r>
          </w:p>
          <w:p>
            <w:pPr>
              <w:pStyle w:val="TableParagraph"/>
              <w:spacing w:line="240" w:lineRule="auto" w:before="2"/>
              <w:ind w:left="0"/>
              <w:rPr>
                <w:sz w:val="26"/>
              </w:rPr>
            </w:pPr>
          </w:p>
          <w:p>
            <w:pPr>
              <w:pStyle w:val="TableParagraph"/>
              <w:spacing w:line="360" w:lineRule="auto"/>
              <w:ind w:left="3562" w:right="237"/>
              <w:rPr>
                <w:sz w:val="24"/>
              </w:rPr>
            </w:pPr>
            <w:r>
              <w:rPr>
                <w:i/>
                <w:sz w:val="24"/>
              </w:rPr>
              <w:t>d</w:t>
            </w:r>
            <w:r>
              <w:rPr>
                <w:i/>
                <w:sz w:val="24"/>
                <w:vertAlign w:val="subscript"/>
              </w:rPr>
              <w:t>min</w:t>
            </w:r>
            <w:r>
              <w:rPr>
                <w:i/>
                <w:sz w:val="24"/>
                <w:vertAlign w:val="baseline"/>
              </w:rPr>
              <w:t> </w:t>
            </w:r>
            <w:r>
              <w:rPr>
                <w:sz w:val="24"/>
                <w:vertAlign w:val="baseline"/>
              </w:rPr>
              <w:t>= minimum distance between point objects that can be</w:t>
            </w:r>
            <w:r>
              <w:rPr>
                <w:spacing w:val="-2"/>
                <w:sz w:val="24"/>
                <w:vertAlign w:val="baseline"/>
              </w:rPr>
              <w:t> </w:t>
            </w:r>
            <w:r>
              <w:rPr>
                <w:sz w:val="24"/>
                <w:vertAlign w:val="baseline"/>
              </w:rPr>
              <w:t>resolved</w:t>
            </w:r>
          </w:p>
          <w:p>
            <w:pPr>
              <w:pStyle w:val="TableParagraph"/>
              <w:spacing w:line="240" w:lineRule="auto" w:before="201"/>
              <w:ind w:left="3562"/>
              <w:rPr>
                <w:sz w:val="24"/>
              </w:rPr>
            </w:pPr>
            <w:r>
              <w:rPr>
                <w:i/>
                <w:sz w:val="24"/>
              </w:rPr>
              <w:t>λ </w:t>
            </w:r>
            <w:r>
              <w:rPr>
                <w:sz w:val="24"/>
              </w:rPr>
              <w:t>= wavelength of the light source used</w:t>
            </w:r>
          </w:p>
          <w:p>
            <w:pPr>
              <w:pStyle w:val="TableParagraph"/>
              <w:spacing w:line="240" w:lineRule="auto" w:before="3"/>
              <w:ind w:left="0"/>
              <w:rPr>
                <w:sz w:val="29"/>
              </w:rPr>
            </w:pPr>
          </w:p>
          <w:p>
            <w:pPr>
              <w:pStyle w:val="TableParagraph"/>
              <w:spacing w:line="360" w:lineRule="auto"/>
              <w:ind w:left="3562"/>
              <w:rPr>
                <w:sz w:val="24"/>
              </w:rPr>
            </w:pPr>
            <w:r>
              <w:rPr>
                <w:i/>
                <w:sz w:val="24"/>
              </w:rPr>
              <w:t>n </w:t>
            </w:r>
            <w:r>
              <w:rPr>
                <w:sz w:val="24"/>
              </w:rPr>
              <w:t>= refrective index of the medium between the objective lens and the specimen</w:t>
            </w:r>
          </w:p>
          <w:p>
            <w:pPr>
              <w:pStyle w:val="TableParagraph"/>
              <w:spacing w:line="240" w:lineRule="auto" w:before="202"/>
              <w:ind w:left="3562"/>
              <w:rPr>
                <w:sz w:val="24"/>
              </w:rPr>
            </w:pPr>
            <w:r>
              <w:rPr>
                <w:i/>
                <w:sz w:val="24"/>
              </w:rPr>
              <w:t>α </w:t>
            </w:r>
            <w:r>
              <w:rPr>
                <w:sz w:val="24"/>
              </w:rPr>
              <w:t>= half of the objective angular aperture</w:t>
            </w:r>
          </w:p>
          <w:p>
            <w:pPr>
              <w:pStyle w:val="TableParagraph"/>
              <w:spacing w:line="240" w:lineRule="auto" w:before="4"/>
              <w:ind w:left="0"/>
              <w:rPr>
                <w:sz w:val="29"/>
              </w:rPr>
            </w:pPr>
          </w:p>
          <w:p>
            <w:pPr>
              <w:pStyle w:val="TableParagraph"/>
              <w:spacing w:line="240" w:lineRule="auto" w:before="1"/>
              <w:ind w:left="3562"/>
              <w:rPr>
                <w:i/>
                <w:sz w:val="24"/>
              </w:rPr>
            </w:pPr>
            <w:r>
              <w:rPr>
                <w:sz w:val="24"/>
              </w:rPr>
              <w:t>N. A. = numerical aperture = </w:t>
            </w:r>
            <w:r>
              <w:rPr>
                <w:i/>
                <w:sz w:val="24"/>
              </w:rPr>
              <w:t>n sinα</w:t>
            </w:r>
          </w:p>
        </w:tc>
      </w:tr>
      <w:tr>
        <w:trPr>
          <w:trHeight w:val="361" w:hRule="atLeast"/>
        </w:trPr>
        <w:tc>
          <w:tcPr>
            <w:tcW w:w="8709" w:type="dxa"/>
          </w:tcPr>
          <w:p>
            <w:pPr>
              <w:pStyle w:val="TableParagraph"/>
              <w:spacing w:line="240" w:lineRule="auto" w:before="4"/>
              <w:ind w:left="0"/>
              <w:rPr>
                <w:sz w:val="15"/>
              </w:rPr>
            </w:pPr>
          </w:p>
          <w:p>
            <w:pPr>
              <w:pStyle w:val="TableParagraph"/>
              <w:spacing w:line="164" w:lineRule="exact"/>
              <w:ind w:left="200"/>
              <w:rPr>
                <w:b/>
                <w:sz w:val="16"/>
              </w:rPr>
            </w:pPr>
            <w:r>
              <w:rPr>
                <w:b/>
                <w:sz w:val="16"/>
              </w:rPr>
              <w:t>Figure 14.4 Resolution of a microscope</w:t>
            </w:r>
          </w:p>
        </w:tc>
      </w:tr>
    </w:tbl>
    <w:p>
      <w:pPr>
        <w:pStyle w:val="BodyText"/>
        <w:spacing w:before="6"/>
        <w:rPr>
          <w:sz w:val="26"/>
        </w:rPr>
      </w:pPr>
    </w:p>
    <w:p>
      <w:pPr>
        <w:pStyle w:val="BodyText"/>
        <w:spacing w:line="360" w:lineRule="auto"/>
        <w:ind w:left="300" w:right="314"/>
        <w:jc w:val="both"/>
      </w:pPr>
      <w:r>
        <w:rPr/>
        <w:t>As is clear from the definition of resolution, lower </w:t>
      </w:r>
      <w:r>
        <w:rPr>
          <w:i/>
        </w:rPr>
        <w:t>d</w:t>
      </w:r>
      <w:r>
        <w:rPr>
          <w:i/>
          <w:vertAlign w:val="subscript"/>
        </w:rPr>
        <w:t>min</w:t>
      </w:r>
      <w:r>
        <w:rPr>
          <w:i/>
          <w:vertAlign w:val="baseline"/>
        </w:rPr>
        <w:t> </w:t>
      </w:r>
      <w:r>
        <w:rPr>
          <w:vertAlign w:val="baseline"/>
        </w:rPr>
        <w:t>implies higher resolution. Resolution of a light microscope operating at the blue end of the visible spectrum will therefore be higher than that operating at the red end, assuming all other parameters remain same. The theoretical limit for </w:t>
      </w:r>
      <w:r>
        <w:rPr>
          <w:i/>
          <w:vertAlign w:val="baseline"/>
        </w:rPr>
        <w:t>d</w:t>
      </w:r>
      <w:r>
        <w:rPr>
          <w:i/>
          <w:vertAlign w:val="subscript"/>
        </w:rPr>
        <w:t>min</w:t>
      </w:r>
      <w:r>
        <w:rPr>
          <w:i/>
          <w:vertAlign w:val="baseline"/>
        </w:rPr>
        <w:t> </w:t>
      </w:r>
      <w:r>
        <w:rPr>
          <w:vertAlign w:val="baseline"/>
        </w:rPr>
        <w:t>for a light microscope operating in high refractive index (typically, </w:t>
      </w:r>
      <w:r>
        <w:rPr>
          <w:i/>
          <w:vertAlign w:val="baseline"/>
        </w:rPr>
        <w:t>n</w:t>
      </w:r>
      <w:r>
        <w:rPr>
          <w:i/>
          <w:vertAlign w:val="subscript"/>
        </w:rPr>
        <w:t>max</w:t>
      </w:r>
      <w:r>
        <w:rPr>
          <w:i/>
          <w:vertAlign w:val="baseline"/>
        </w:rPr>
        <w:t> </w:t>
      </w:r>
      <w:r>
        <w:rPr>
          <w:vertAlign w:val="baseline"/>
        </w:rPr>
        <w:t>= 1.4 for the oil used in microscopy) is ~ 0.17 μm (Assuming </w:t>
      </w:r>
      <w:r>
        <w:rPr>
          <w:i/>
          <w:vertAlign w:val="baseline"/>
        </w:rPr>
        <w:t>λ </w:t>
      </w:r>
      <w:r>
        <w:rPr>
          <w:vertAlign w:val="baseline"/>
        </w:rPr>
        <w:t>= 400 nm and </w:t>
      </w:r>
      <w:r>
        <w:rPr>
          <w:i/>
          <w:vertAlign w:val="baseline"/>
        </w:rPr>
        <w:t>sinα </w:t>
      </w:r>
      <w:r>
        <w:rPr>
          <w:vertAlign w:val="baseline"/>
        </w:rPr>
        <w:t>= 1). It is therefore an intrinsic limitation of a light microscope to resolve the particles closer than ~0.17 </w:t>
      </w:r>
      <w:r>
        <w:rPr>
          <w:i/>
          <w:vertAlign w:val="baseline"/>
        </w:rPr>
        <w:t>μm</w:t>
      </w:r>
      <w:r>
        <w:rPr>
          <w:vertAlign w:val="baseline"/>
        </w:rPr>
        <w:t>. It is evident that the resolution can be increased if the wavelength of the source radiation is reduced.</w:t>
      </w:r>
    </w:p>
    <w:p>
      <w:pPr>
        <w:spacing w:after="0" w:line="360" w:lineRule="auto"/>
        <w:jc w:val="both"/>
        <w:sectPr>
          <w:pgSz w:w="11910" w:h="16840"/>
          <w:pgMar w:header="722" w:footer="748" w:top="1300" w:bottom="940" w:left="1500" w:right="1480"/>
        </w:sectPr>
      </w:pPr>
    </w:p>
    <w:p>
      <w:pPr>
        <w:pStyle w:val="Heading4"/>
        <w:spacing w:before="124"/>
      </w:pPr>
      <w:r>
        <w:rPr/>
        <w:t>Parts of a light microscope</w:t>
      </w:r>
    </w:p>
    <w:p>
      <w:pPr>
        <w:pStyle w:val="BodyText"/>
        <w:rPr>
          <w:b/>
          <w:sz w:val="29"/>
        </w:rPr>
      </w:pPr>
    </w:p>
    <w:p>
      <w:pPr>
        <w:pStyle w:val="BodyText"/>
        <w:spacing w:line="360" w:lineRule="auto"/>
        <w:ind w:left="300" w:right="317"/>
        <w:jc w:val="both"/>
      </w:pPr>
      <w:r>
        <w:rPr/>
        <w:t>Figure 14.5 shows the diagram of a light microscope. The light is produced by a lamp source and focused on the specimen by the condenser. The light diffracted by the sample is then collected by the objective lens that generates a real magnified image as shown in Figure 14.3. This image is further magnified by the eyepiece.</w:t>
      </w:r>
    </w:p>
    <w:p>
      <w:pPr>
        <w:pStyle w:val="BodyText"/>
        <w:spacing w:before="11"/>
        <w:rPr>
          <w:sz w:val="20"/>
        </w:rPr>
      </w:pPr>
      <w:r>
        <w:rPr/>
        <w:drawing>
          <wp:anchor distT="0" distB="0" distL="0" distR="0" allowOverlap="1" layoutInCell="1" locked="0" behindDoc="0" simplePos="0" relativeHeight="221">
            <wp:simplePos x="0" y="0"/>
            <wp:positionH relativeFrom="page">
              <wp:posOffset>1401469</wp:posOffset>
            </wp:positionH>
            <wp:positionV relativeFrom="paragraph">
              <wp:posOffset>178082</wp:posOffset>
            </wp:positionV>
            <wp:extent cx="4870595" cy="3628834"/>
            <wp:effectExtent l="0" t="0" r="0" b="0"/>
            <wp:wrapTopAndBottom/>
            <wp:docPr id="185" name="image97.png" descr="Figure 14.5.tif"/>
            <wp:cNvGraphicFramePr>
              <a:graphicFrameLocks noChangeAspect="1"/>
            </wp:cNvGraphicFramePr>
            <a:graphic>
              <a:graphicData uri="http://schemas.openxmlformats.org/drawingml/2006/picture">
                <pic:pic>
                  <pic:nvPicPr>
                    <pic:cNvPr id="186" name="image97.png"/>
                    <pic:cNvPicPr/>
                  </pic:nvPicPr>
                  <pic:blipFill>
                    <a:blip r:embed="rId107" cstate="print"/>
                    <a:stretch>
                      <a:fillRect/>
                    </a:stretch>
                  </pic:blipFill>
                  <pic:spPr>
                    <a:xfrm>
                      <a:off x="0" y="0"/>
                      <a:ext cx="4870595" cy="3628834"/>
                    </a:xfrm>
                    <a:prstGeom prst="rect">
                      <a:avLst/>
                    </a:prstGeom>
                  </pic:spPr>
                </pic:pic>
              </a:graphicData>
            </a:graphic>
          </wp:anchor>
        </w:drawing>
      </w:r>
    </w:p>
    <w:p>
      <w:pPr>
        <w:pStyle w:val="BodyText"/>
        <w:spacing w:before="8"/>
        <w:rPr>
          <w:sz w:val="30"/>
        </w:rPr>
      </w:pPr>
    </w:p>
    <w:p>
      <w:pPr>
        <w:spacing w:before="0"/>
        <w:ind w:left="793" w:right="617" w:firstLine="0"/>
        <w:jc w:val="center"/>
        <w:rPr>
          <w:b/>
          <w:sz w:val="16"/>
        </w:rPr>
      </w:pPr>
      <w:r>
        <w:rPr>
          <w:b/>
          <w:sz w:val="16"/>
        </w:rPr>
        <w:t>Figure 14.5 Schematic diagram of a compound microscope showing its different components</w:t>
      </w:r>
    </w:p>
    <w:p>
      <w:pPr>
        <w:pStyle w:val="BodyText"/>
        <w:spacing w:before="4"/>
        <w:rPr>
          <w:b/>
          <w:sz w:val="25"/>
        </w:rPr>
      </w:pPr>
    </w:p>
    <w:p>
      <w:pPr>
        <w:pStyle w:val="Heading4"/>
      </w:pPr>
      <w:r>
        <w:rPr/>
        <w:t>Bright-field microscopy</w:t>
      </w:r>
    </w:p>
    <w:p>
      <w:pPr>
        <w:pStyle w:val="BodyText"/>
        <w:rPr>
          <w:b/>
          <w:sz w:val="29"/>
        </w:rPr>
      </w:pPr>
    </w:p>
    <w:p>
      <w:pPr>
        <w:pStyle w:val="BodyText"/>
        <w:spacing w:line="360" w:lineRule="auto"/>
        <w:ind w:left="300" w:right="318"/>
        <w:jc w:val="both"/>
      </w:pPr>
      <w:r>
        <w:rPr/>
        <w:t>In a bright-field microscope, both diffracted (diffracted by the specimen) and undiffracted (light that transmits through the sample undeviated) lights are collected by the objective lens (Figure 14.6). The image of the specimen is therefore generated against a bright background, hence the name bright-field microscopy. Most biological samples are intrinsically transparent to the light resulting in poor contrast. To increase the contrast of the image, the specimens are therefore generally stained with the dyes. However, intrinsically colored samples such as erythrocytes can directly be observed using bright-field microscopy.</w:t>
      </w:r>
    </w:p>
    <w:p>
      <w:pPr>
        <w:spacing w:after="0" w:line="360" w:lineRule="auto"/>
        <w:jc w:val="both"/>
        <w:sectPr>
          <w:pgSz w:w="11910" w:h="16840"/>
          <w:pgMar w:header="722" w:footer="748" w:top="1300" w:bottom="940" w:left="1500" w:right="1480"/>
        </w:sectPr>
      </w:pPr>
    </w:p>
    <w:p>
      <w:pPr>
        <w:pStyle w:val="Heading4"/>
        <w:spacing w:before="124"/>
      </w:pPr>
      <w:r>
        <w:rPr/>
        <w:t>Dark-field microscopy</w:t>
      </w:r>
    </w:p>
    <w:p>
      <w:pPr>
        <w:pStyle w:val="BodyText"/>
        <w:rPr>
          <w:b/>
          <w:sz w:val="29"/>
        </w:rPr>
      </w:pPr>
    </w:p>
    <w:p>
      <w:pPr>
        <w:pStyle w:val="BodyText"/>
        <w:spacing w:line="360" w:lineRule="auto"/>
        <w:ind w:left="299" w:right="316"/>
        <w:jc w:val="both"/>
      </w:pPr>
      <w:r>
        <w:rPr/>
        <w:t>Dark-field microscopy increases the contrast of the image by eliminating the undiffracted light. The specimen is illuminated by the light coming from a ring at an oblique angle (Figure 14.6). If there is no specimen in the optics path, no light is collected by the objective lens. Presence of specimen results in the diffraction of light; the objective lens collects the diffracted light generating a bright image against a dark background.</w:t>
      </w:r>
    </w:p>
    <w:p>
      <w:pPr>
        <w:pStyle w:val="BodyText"/>
        <w:spacing w:before="7"/>
        <w:rPr>
          <w:sz w:val="17"/>
        </w:rPr>
      </w:pPr>
      <w:r>
        <w:rPr/>
        <w:drawing>
          <wp:anchor distT="0" distB="0" distL="0" distR="0" allowOverlap="1" layoutInCell="1" locked="0" behindDoc="0" simplePos="0" relativeHeight="222">
            <wp:simplePos x="0" y="0"/>
            <wp:positionH relativeFrom="page">
              <wp:posOffset>1551682</wp:posOffset>
            </wp:positionH>
            <wp:positionV relativeFrom="paragraph">
              <wp:posOffset>153555</wp:posOffset>
            </wp:positionV>
            <wp:extent cx="4625296" cy="4065270"/>
            <wp:effectExtent l="0" t="0" r="0" b="0"/>
            <wp:wrapTopAndBottom/>
            <wp:docPr id="187" name="image98.jpeg" descr="Figure 14.6.tif"/>
            <wp:cNvGraphicFramePr>
              <a:graphicFrameLocks noChangeAspect="1"/>
            </wp:cNvGraphicFramePr>
            <a:graphic>
              <a:graphicData uri="http://schemas.openxmlformats.org/drawingml/2006/picture">
                <pic:pic>
                  <pic:nvPicPr>
                    <pic:cNvPr id="188" name="image98.jpeg"/>
                    <pic:cNvPicPr/>
                  </pic:nvPicPr>
                  <pic:blipFill>
                    <a:blip r:embed="rId108" cstate="print"/>
                    <a:stretch>
                      <a:fillRect/>
                    </a:stretch>
                  </pic:blipFill>
                  <pic:spPr>
                    <a:xfrm>
                      <a:off x="0" y="0"/>
                      <a:ext cx="4625296" cy="4065270"/>
                    </a:xfrm>
                    <a:prstGeom prst="rect">
                      <a:avLst/>
                    </a:prstGeom>
                  </pic:spPr>
                </pic:pic>
              </a:graphicData>
            </a:graphic>
          </wp:anchor>
        </w:drawing>
      </w:r>
    </w:p>
    <w:p>
      <w:pPr>
        <w:pStyle w:val="BodyText"/>
        <w:spacing w:before="5"/>
        <w:rPr>
          <w:sz w:val="30"/>
        </w:rPr>
      </w:pPr>
    </w:p>
    <w:p>
      <w:pPr>
        <w:spacing w:before="0"/>
        <w:ind w:left="793" w:right="617" w:firstLine="0"/>
        <w:jc w:val="center"/>
        <w:rPr>
          <w:b/>
          <w:sz w:val="16"/>
        </w:rPr>
      </w:pPr>
      <w:r>
        <w:rPr>
          <w:b/>
          <w:sz w:val="16"/>
        </w:rPr>
        <w:t>Figure 14.6 Optical diagrams of bright-field and dark-field microscopes</w:t>
      </w:r>
    </w:p>
    <w:p>
      <w:pPr>
        <w:pStyle w:val="BodyText"/>
        <w:spacing w:before="4"/>
        <w:rPr>
          <w:b/>
          <w:sz w:val="25"/>
        </w:rPr>
      </w:pPr>
    </w:p>
    <w:p>
      <w:pPr>
        <w:pStyle w:val="Heading4"/>
      </w:pPr>
      <w:r>
        <w:rPr/>
        <w:t>Phase contrast microscopy</w:t>
      </w:r>
    </w:p>
    <w:p>
      <w:pPr>
        <w:pStyle w:val="BodyText"/>
        <w:spacing w:before="7"/>
        <w:rPr>
          <w:b/>
          <w:sz w:val="20"/>
        </w:rPr>
      </w:pPr>
    </w:p>
    <w:p>
      <w:pPr>
        <w:pStyle w:val="BodyText"/>
        <w:spacing w:line="360" w:lineRule="auto"/>
        <w:ind w:left="300" w:right="315"/>
        <w:jc w:val="both"/>
      </w:pPr>
      <w:r>
        <w:rPr/>
        <w:t>A phase contrast microscope provides very high contrast as compared to the bright- field and dark-field microscopic methods. The image in a phase contrast microscope is generated from both diffracted and undiffracted lights as shown in Figure 14.7.  Like dark-field microscopy, the specimen is illuminated by the light coming from a ring, called a condenser annulus. The diffracted and the undiffracted lights are separated in space allowing selective manipulation of their phases and intensities. The diffracted</w:t>
      </w:r>
      <w:r>
        <w:rPr>
          <w:spacing w:val="13"/>
        </w:rPr>
        <w:t> </w:t>
      </w:r>
      <w:r>
        <w:rPr/>
        <w:t>as</w:t>
      </w:r>
      <w:r>
        <w:rPr>
          <w:spacing w:val="16"/>
        </w:rPr>
        <w:t> </w:t>
      </w:r>
      <w:r>
        <w:rPr/>
        <w:t>well</w:t>
      </w:r>
      <w:r>
        <w:rPr>
          <w:spacing w:val="13"/>
        </w:rPr>
        <w:t> </w:t>
      </w:r>
      <w:r>
        <w:rPr/>
        <w:t>as</w:t>
      </w:r>
      <w:r>
        <w:rPr>
          <w:spacing w:val="13"/>
        </w:rPr>
        <w:t> </w:t>
      </w:r>
      <w:r>
        <w:rPr/>
        <w:t>the</w:t>
      </w:r>
      <w:r>
        <w:rPr>
          <w:spacing w:val="14"/>
        </w:rPr>
        <w:t> </w:t>
      </w:r>
      <w:r>
        <w:rPr/>
        <w:t>undiffracted</w:t>
      </w:r>
      <w:r>
        <w:rPr>
          <w:spacing w:val="13"/>
        </w:rPr>
        <w:t> </w:t>
      </w:r>
      <w:r>
        <w:rPr/>
        <w:t>light</w:t>
      </w:r>
      <w:r>
        <w:rPr>
          <w:spacing w:val="16"/>
        </w:rPr>
        <w:t> </w:t>
      </w:r>
      <w:r>
        <w:rPr/>
        <w:t>is</w:t>
      </w:r>
      <w:r>
        <w:rPr>
          <w:spacing w:val="13"/>
        </w:rPr>
        <w:t> </w:t>
      </w:r>
      <w:r>
        <w:rPr/>
        <w:t>collected</w:t>
      </w:r>
      <w:r>
        <w:rPr>
          <w:spacing w:val="13"/>
        </w:rPr>
        <w:t> </w:t>
      </w:r>
      <w:r>
        <w:rPr/>
        <w:t>by</w:t>
      </w:r>
      <w:r>
        <w:rPr>
          <w:spacing w:val="8"/>
        </w:rPr>
        <w:t> </w:t>
      </w:r>
      <w:r>
        <w:rPr/>
        <w:t>the</w:t>
      </w:r>
      <w:r>
        <w:rPr>
          <w:spacing w:val="12"/>
        </w:rPr>
        <w:t> </w:t>
      </w:r>
      <w:r>
        <w:rPr/>
        <w:t>objective</w:t>
      </w:r>
      <w:r>
        <w:rPr>
          <w:spacing w:val="14"/>
        </w:rPr>
        <w:t> </w:t>
      </w:r>
      <w:r>
        <w:rPr/>
        <w:t>lens.</w:t>
      </w:r>
      <w:r>
        <w:rPr>
          <w:spacing w:val="14"/>
        </w:rPr>
        <w:t> </w:t>
      </w:r>
      <w:r>
        <w:rPr/>
        <w:t>A</w:t>
      </w:r>
      <w:r>
        <w:rPr>
          <w:spacing w:val="12"/>
        </w:rPr>
        <w:t> </w:t>
      </w:r>
      <w:r>
        <w:rPr/>
        <w:t>phase</w:t>
      </w:r>
    </w:p>
    <w:p>
      <w:pPr>
        <w:spacing w:after="0" w:line="360" w:lineRule="auto"/>
        <w:jc w:val="both"/>
        <w:sectPr>
          <w:pgSz w:w="11910" w:h="16840"/>
          <w:pgMar w:header="722" w:footer="748" w:top="1300" w:bottom="940" w:left="1500" w:right="1480"/>
        </w:sectPr>
      </w:pPr>
    </w:p>
    <w:p>
      <w:pPr>
        <w:pStyle w:val="BodyText"/>
        <w:spacing w:before="119"/>
        <w:ind w:left="300"/>
      </w:pPr>
      <w:r>
        <w:rPr/>
        <w:t>plate</w:t>
      </w:r>
      <w:r>
        <w:rPr>
          <w:spacing w:val="26"/>
        </w:rPr>
        <w:t> </w:t>
      </w:r>
      <w:r>
        <w:rPr/>
        <w:t>is</w:t>
      </w:r>
      <w:r>
        <w:rPr>
          <w:spacing w:val="28"/>
        </w:rPr>
        <w:t> </w:t>
      </w:r>
      <w:r>
        <w:rPr/>
        <w:t>placed</w:t>
      </w:r>
      <w:r>
        <w:rPr>
          <w:spacing w:val="27"/>
        </w:rPr>
        <w:t> </w:t>
      </w:r>
      <w:r>
        <w:rPr/>
        <w:t>at</w:t>
      </w:r>
      <w:r>
        <w:rPr>
          <w:spacing w:val="28"/>
        </w:rPr>
        <w:t> </w:t>
      </w:r>
      <w:r>
        <w:rPr/>
        <w:t>the</w:t>
      </w:r>
      <w:r>
        <w:rPr>
          <w:spacing w:val="26"/>
        </w:rPr>
        <w:t> </w:t>
      </w:r>
      <w:r>
        <w:rPr/>
        <w:t>back</w:t>
      </w:r>
      <w:r>
        <w:rPr>
          <w:spacing w:val="28"/>
        </w:rPr>
        <w:t> </w:t>
      </w:r>
      <w:r>
        <w:rPr/>
        <w:t>side</w:t>
      </w:r>
      <w:r>
        <w:rPr>
          <w:spacing w:val="26"/>
        </w:rPr>
        <w:t> </w:t>
      </w:r>
      <w:r>
        <w:rPr/>
        <w:t>of</w:t>
      </w:r>
      <w:r>
        <w:rPr>
          <w:spacing w:val="27"/>
        </w:rPr>
        <w:t> </w:t>
      </w:r>
      <w:r>
        <w:rPr/>
        <w:t>the</w:t>
      </w:r>
      <w:r>
        <w:rPr>
          <w:spacing w:val="26"/>
        </w:rPr>
        <w:t> </w:t>
      </w:r>
      <w:r>
        <w:rPr/>
        <w:t>objective</w:t>
      </w:r>
      <w:r>
        <w:rPr>
          <w:spacing w:val="29"/>
        </w:rPr>
        <w:t> </w:t>
      </w:r>
      <w:r>
        <w:rPr/>
        <w:t>lens</w:t>
      </w:r>
      <w:r>
        <w:rPr>
          <w:spacing w:val="28"/>
        </w:rPr>
        <w:t> </w:t>
      </w:r>
      <w:r>
        <w:rPr/>
        <w:t>that</w:t>
      </w:r>
      <w:r>
        <w:rPr>
          <w:spacing w:val="29"/>
        </w:rPr>
        <w:t> </w:t>
      </w:r>
      <w:r>
        <w:rPr/>
        <w:t>increases</w:t>
      </w:r>
      <w:r>
        <w:rPr>
          <w:spacing w:val="28"/>
        </w:rPr>
        <w:t> </w:t>
      </w:r>
      <w:r>
        <w:rPr/>
        <w:t>the</w:t>
      </w:r>
      <w:r>
        <w:rPr>
          <w:spacing w:val="26"/>
        </w:rPr>
        <w:t> </w:t>
      </w:r>
      <w:r>
        <w:rPr/>
        <w:t>phase</w:t>
      </w:r>
      <w:r>
        <w:rPr>
          <w:spacing w:val="26"/>
        </w:rPr>
        <w:t> </w:t>
      </w:r>
      <w:r>
        <w:rPr/>
        <w:t>of</w:t>
      </w:r>
      <w:r>
        <w:rPr>
          <w:spacing w:val="27"/>
        </w:rPr>
        <w:t> </w:t>
      </w:r>
      <w:r>
        <w:rPr/>
        <w:t>the</w:t>
      </w:r>
    </w:p>
    <w:p>
      <w:pPr>
        <w:pStyle w:val="BodyText"/>
        <w:spacing w:line="182" w:lineRule="exact" w:before="212"/>
        <w:ind w:left="300"/>
      </w:pPr>
      <w:r>
        <w:rPr/>
        <w:pict>
          <v:rect style="position:absolute;margin-left:194.399994pt;margin-top:17.96314pt;width:5.04pt;height:.84pt;mso-position-horizontal-relative:page;mso-position-vertical-relative:paragraph;z-index:15843328" filled="true" fillcolor="#000000" stroked="false">
            <v:fill type="solid"/>
            <w10:wrap type="none"/>
          </v:rect>
        </w:pict>
      </w:r>
      <w:r>
        <w:rPr/>
        <w:pict>
          <v:rect style="position:absolute;margin-left:402.720001pt;margin-top:17.96314pt;width:5.04pt;height:.84pt;mso-position-horizontal-relative:page;mso-position-vertical-relative:paragraph;z-index:15843840" filled="true" fillcolor="#000000" stroked="false">
            <v:fill type="solid"/>
            <w10:wrap type="none"/>
          </v:rect>
        </w:pict>
      </w:r>
      <w:r>
        <w:rPr/>
        <w:t>undiffracted</w:t>
      </w:r>
      <w:r>
        <w:rPr>
          <w:spacing w:val="16"/>
        </w:rPr>
        <w:t> </w:t>
      </w:r>
      <w:r>
        <w:rPr/>
        <w:t>light</w:t>
      </w:r>
      <w:r>
        <w:rPr>
          <w:spacing w:val="17"/>
        </w:rPr>
        <w:t> </w:t>
      </w:r>
      <w:r>
        <w:rPr/>
        <w:t>by</w:t>
      </w:r>
      <w:r>
        <w:rPr>
          <w:spacing w:val="13"/>
        </w:rPr>
        <w:t> </w:t>
      </w:r>
      <w:r>
        <w:rPr>
          <w:rFonts w:ascii="Symbola" w:eastAsia="Symbola"/>
          <w:vertAlign w:val="superscript"/>
        </w:rPr>
        <w:t>𝜆</w:t>
      </w:r>
      <w:r>
        <w:rPr>
          <w:rFonts w:ascii="Symbola" w:eastAsia="Symbola"/>
          <w:spacing w:val="18"/>
          <w:vertAlign w:val="baseline"/>
        </w:rPr>
        <w:t> </w:t>
      </w:r>
      <w:r>
        <w:rPr>
          <w:vertAlign w:val="baseline"/>
        </w:rPr>
        <w:t>and</w:t>
      </w:r>
      <w:r>
        <w:rPr>
          <w:spacing w:val="16"/>
          <w:vertAlign w:val="baseline"/>
        </w:rPr>
        <w:t> </w:t>
      </w:r>
      <w:r>
        <w:rPr>
          <w:vertAlign w:val="baseline"/>
        </w:rPr>
        <w:t>decreases</w:t>
      </w:r>
      <w:r>
        <w:rPr>
          <w:spacing w:val="17"/>
          <w:vertAlign w:val="baseline"/>
        </w:rPr>
        <w:t> </w:t>
      </w:r>
      <w:r>
        <w:rPr>
          <w:vertAlign w:val="baseline"/>
        </w:rPr>
        <w:t>that</w:t>
      </w:r>
      <w:r>
        <w:rPr>
          <w:spacing w:val="16"/>
          <w:vertAlign w:val="baseline"/>
        </w:rPr>
        <w:t> </w:t>
      </w:r>
      <w:r>
        <w:rPr>
          <w:vertAlign w:val="baseline"/>
        </w:rPr>
        <w:t>of</w:t>
      </w:r>
      <w:r>
        <w:rPr>
          <w:spacing w:val="16"/>
          <w:vertAlign w:val="baseline"/>
        </w:rPr>
        <w:t> </w:t>
      </w:r>
      <w:r>
        <w:rPr>
          <w:vertAlign w:val="baseline"/>
        </w:rPr>
        <w:t>diffracted</w:t>
      </w:r>
      <w:r>
        <w:rPr>
          <w:spacing w:val="17"/>
          <w:vertAlign w:val="baseline"/>
        </w:rPr>
        <w:t> </w:t>
      </w:r>
      <w:r>
        <w:rPr>
          <w:vertAlign w:val="baseline"/>
        </w:rPr>
        <w:t>light</w:t>
      </w:r>
      <w:r>
        <w:rPr>
          <w:spacing w:val="16"/>
          <w:vertAlign w:val="baseline"/>
        </w:rPr>
        <w:t> </w:t>
      </w:r>
      <w:r>
        <w:rPr>
          <w:vertAlign w:val="baseline"/>
        </w:rPr>
        <w:t>by</w:t>
      </w:r>
      <w:r>
        <w:rPr>
          <w:spacing w:val="15"/>
          <w:vertAlign w:val="baseline"/>
        </w:rPr>
        <w:t> </w:t>
      </w:r>
      <w:r>
        <w:rPr>
          <w:rFonts w:ascii="Symbola" w:eastAsia="Symbola"/>
          <w:vertAlign w:val="superscript"/>
        </w:rPr>
        <w:t>𝜆</w:t>
      </w:r>
      <w:r>
        <w:rPr>
          <w:rFonts w:ascii="Symbola" w:eastAsia="Symbola"/>
          <w:spacing w:val="17"/>
          <w:vertAlign w:val="baseline"/>
        </w:rPr>
        <w:t> </w:t>
      </w:r>
      <w:r>
        <w:rPr>
          <w:vertAlign w:val="baseline"/>
        </w:rPr>
        <w:t>as</w:t>
      </w:r>
      <w:r>
        <w:rPr>
          <w:spacing w:val="17"/>
          <w:vertAlign w:val="baseline"/>
        </w:rPr>
        <w:t> </w:t>
      </w:r>
      <w:r>
        <w:rPr>
          <w:vertAlign w:val="baseline"/>
        </w:rPr>
        <w:t>shown</w:t>
      </w:r>
      <w:r>
        <w:rPr>
          <w:spacing w:val="16"/>
          <w:vertAlign w:val="baseline"/>
        </w:rPr>
        <w:t> </w:t>
      </w:r>
      <w:r>
        <w:rPr>
          <w:vertAlign w:val="baseline"/>
        </w:rPr>
        <w:t>in</w:t>
      </w:r>
      <w:r>
        <w:rPr>
          <w:spacing w:val="17"/>
          <w:vertAlign w:val="baseline"/>
        </w:rPr>
        <w:t> </w:t>
      </w:r>
      <w:r>
        <w:rPr>
          <w:vertAlign w:val="baseline"/>
        </w:rPr>
        <w:t>Figure</w:t>
      </w:r>
    </w:p>
    <w:p>
      <w:pPr>
        <w:tabs>
          <w:tab w:pos="4280" w:val="left" w:leader="none"/>
        </w:tabs>
        <w:spacing w:before="28"/>
        <w:ind w:left="114" w:right="0" w:firstLine="0"/>
        <w:jc w:val="center"/>
        <w:rPr>
          <w:rFonts w:ascii="Symbola"/>
          <w:sz w:val="17"/>
        </w:rPr>
      </w:pPr>
      <w:r>
        <w:rPr>
          <w:rFonts w:ascii="Symbola"/>
          <w:w w:val="115"/>
          <w:sz w:val="17"/>
        </w:rPr>
        <w:t>4</w:t>
        <w:tab/>
        <w:t>4</w:t>
      </w:r>
    </w:p>
    <w:p>
      <w:pPr>
        <w:pStyle w:val="BodyText"/>
        <w:spacing w:line="243" w:lineRule="exact" w:before="179"/>
        <w:ind w:left="300"/>
      </w:pPr>
      <w:r>
        <w:rPr/>
        <w:pict>
          <v:rect style="position:absolute;margin-left:259.559998pt;margin-top:16.312119pt;width:5.04pt;height:.841pt;mso-position-horizontal-relative:page;mso-position-vertical-relative:paragraph;z-index:-18423296" filled="true" fillcolor="#000000" stroked="false">
            <v:fill type="solid"/>
            <w10:wrap type="none"/>
          </v:rect>
        </w:pict>
      </w:r>
      <w:r>
        <w:rPr/>
        <w:t>14.7. </w:t>
      </w:r>
      <w:r>
        <w:rPr>
          <w:spacing w:val="45"/>
        </w:rPr>
        <w:t> </w:t>
      </w:r>
      <w:r>
        <w:rPr/>
        <w:t>A</w:t>
      </w:r>
      <w:r>
        <w:rPr>
          <w:spacing w:val="21"/>
        </w:rPr>
        <w:t> </w:t>
      </w:r>
      <w:r>
        <w:rPr/>
        <w:t>total</w:t>
      </w:r>
      <w:r>
        <w:rPr>
          <w:spacing w:val="23"/>
        </w:rPr>
        <w:t> </w:t>
      </w:r>
      <w:r>
        <w:rPr/>
        <w:t>phase</w:t>
      </w:r>
      <w:r>
        <w:rPr>
          <w:spacing w:val="23"/>
        </w:rPr>
        <w:t> </w:t>
      </w:r>
      <w:r>
        <w:rPr/>
        <w:t>difference</w:t>
      </w:r>
      <w:r>
        <w:rPr>
          <w:spacing w:val="22"/>
        </w:rPr>
        <w:t> </w:t>
      </w:r>
      <w:r>
        <w:rPr/>
        <w:t>of</w:t>
      </w:r>
      <w:r>
        <w:rPr>
          <w:spacing w:val="26"/>
        </w:rPr>
        <w:t> </w:t>
      </w:r>
      <w:r>
        <w:rPr>
          <w:rFonts w:ascii="Symbola" w:eastAsia="Symbola"/>
          <w:vertAlign w:val="superscript"/>
        </w:rPr>
        <w:t>𝜆</w:t>
      </w:r>
      <w:r>
        <w:rPr>
          <w:rFonts w:ascii="Symbola" w:eastAsia="Symbola"/>
          <w:spacing w:val="24"/>
          <w:vertAlign w:val="baseline"/>
        </w:rPr>
        <w:t> </w:t>
      </w:r>
      <w:r>
        <w:rPr>
          <w:vertAlign w:val="baseline"/>
        </w:rPr>
        <w:t>is</w:t>
      </w:r>
      <w:r>
        <w:rPr>
          <w:spacing w:val="22"/>
          <w:vertAlign w:val="baseline"/>
        </w:rPr>
        <w:t> </w:t>
      </w:r>
      <w:r>
        <w:rPr>
          <w:vertAlign w:val="baseline"/>
        </w:rPr>
        <w:t>therefore</w:t>
      </w:r>
      <w:r>
        <w:rPr>
          <w:spacing w:val="24"/>
          <w:vertAlign w:val="baseline"/>
        </w:rPr>
        <w:t> </w:t>
      </w:r>
      <w:r>
        <w:rPr>
          <w:vertAlign w:val="baseline"/>
        </w:rPr>
        <w:t>obtained</w:t>
      </w:r>
      <w:r>
        <w:rPr>
          <w:spacing w:val="22"/>
          <w:vertAlign w:val="baseline"/>
        </w:rPr>
        <w:t> </w:t>
      </w:r>
      <w:r>
        <w:rPr>
          <w:vertAlign w:val="baseline"/>
        </w:rPr>
        <w:t>between</w:t>
      </w:r>
      <w:r>
        <w:rPr>
          <w:spacing w:val="23"/>
          <w:vertAlign w:val="baseline"/>
        </w:rPr>
        <w:t> </w:t>
      </w:r>
      <w:r>
        <w:rPr>
          <w:vertAlign w:val="baseline"/>
        </w:rPr>
        <w:t>the</w:t>
      </w:r>
      <w:r>
        <w:rPr>
          <w:spacing w:val="22"/>
          <w:vertAlign w:val="baseline"/>
        </w:rPr>
        <w:t> </w:t>
      </w:r>
      <w:r>
        <w:rPr>
          <w:vertAlign w:val="baseline"/>
        </w:rPr>
        <w:t>diffracted</w:t>
      </w:r>
      <w:r>
        <w:rPr>
          <w:spacing w:val="24"/>
          <w:vertAlign w:val="baseline"/>
        </w:rPr>
        <w:t> </w:t>
      </w:r>
      <w:r>
        <w:rPr>
          <w:vertAlign w:val="baseline"/>
        </w:rPr>
        <w:t>and</w:t>
      </w:r>
    </w:p>
    <w:p>
      <w:pPr>
        <w:spacing w:line="137" w:lineRule="exact" w:before="0"/>
        <w:ind w:left="0" w:right="1443" w:firstLine="0"/>
        <w:jc w:val="center"/>
        <w:rPr>
          <w:rFonts w:ascii="Symbola"/>
          <w:sz w:val="17"/>
        </w:rPr>
      </w:pPr>
      <w:r>
        <w:rPr>
          <w:rFonts w:ascii="Symbola"/>
          <w:w w:val="115"/>
          <w:sz w:val="17"/>
        </w:rPr>
        <w:t>2</w:t>
      </w:r>
    </w:p>
    <w:p>
      <w:pPr>
        <w:pStyle w:val="BodyText"/>
        <w:spacing w:line="360" w:lineRule="auto" w:before="104"/>
        <w:ind w:left="300" w:right="317"/>
        <w:jc w:val="both"/>
      </w:pPr>
      <w:r>
        <w:rPr/>
        <w:t>the undiffracted light beams before they are focused on the image plane. As the intensity of the undiffracted light is very high, it is selectively reduced to ~30% of the initial intensity by a semi-transparent metallic film on the phase plate. Two waves</w:t>
      </w:r>
      <w:r>
        <w:rPr>
          <w:spacing w:val="-12"/>
        </w:rPr>
        <w:t> </w:t>
      </w:r>
      <w:r>
        <w:rPr/>
        <w:t>that</w:t>
      </w:r>
    </w:p>
    <w:p>
      <w:pPr>
        <w:pStyle w:val="BodyText"/>
        <w:spacing w:line="243" w:lineRule="exact" w:before="73"/>
        <w:ind w:left="300"/>
        <w:jc w:val="both"/>
      </w:pPr>
      <w:r>
        <w:rPr/>
        <w:pict>
          <v:rect style="position:absolute;margin-left:116.160004pt;margin-top:11.012117pt;width:5.04pt;height:.841pt;mso-position-horizontal-relative:page;mso-position-vertical-relative:paragraph;z-index:-18422784" filled="true" fillcolor="#000000" stroked="false">
            <v:fill type="solid"/>
            <w10:wrap type="none"/>
          </v:rect>
        </w:pict>
      </w:r>
      <w:r>
        <w:rPr/>
        <w:t>have </w:t>
      </w:r>
      <w:r>
        <w:rPr>
          <w:rFonts w:ascii="Symbola" w:eastAsia="Symbola"/>
          <w:vertAlign w:val="superscript"/>
        </w:rPr>
        <w:t>𝜆</w:t>
      </w:r>
      <w:r>
        <w:rPr>
          <w:rFonts w:ascii="Symbola" w:eastAsia="Symbola"/>
          <w:vertAlign w:val="baseline"/>
        </w:rPr>
        <w:t> </w:t>
      </w:r>
      <w:r>
        <w:rPr>
          <w:vertAlign w:val="baseline"/>
        </w:rPr>
        <w:t>phase difference interfere destructively thereby diminishing the light </w:t>
      </w:r>
      <w:r>
        <w:rPr>
          <w:spacing w:val="2"/>
          <w:vertAlign w:val="baseline"/>
        </w:rPr>
        <w:t> </w:t>
      </w:r>
      <w:r>
        <w:rPr>
          <w:vertAlign w:val="baseline"/>
        </w:rPr>
        <w:t>intensity.</w:t>
      </w:r>
    </w:p>
    <w:p>
      <w:pPr>
        <w:spacing w:line="137" w:lineRule="exact" w:before="0"/>
        <w:ind w:left="823" w:right="0" w:firstLine="0"/>
        <w:jc w:val="left"/>
        <w:rPr>
          <w:rFonts w:ascii="Symbola"/>
          <w:sz w:val="17"/>
        </w:rPr>
      </w:pPr>
      <w:r>
        <w:rPr>
          <w:rFonts w:ascii="Symbola"/>
          <w:w w:val="115"/>
          <w:sz w:val="17"/>
        </w:rPr>
        <w:t>2</w:t>
      </w:r>
    </w:p>
    <w:p>
      <w:pPr>
        <w:pStyle w:val="BodyText"/>
        <w:spacing w:line="360" w:lineRule="auto" w:before="104"/>
        <w:ind w:left="300" w:right="315"/>
        <w:jc w:val="both"/>
      </w:pPr>
      <w:r>
        <w:rPr/>
        <w:t>Any phase change caused by the specimen is therefore converted into an amplitude signal by a phase contrast microscope thereby increasing the contrast.</w:t>
      </w:r>
    </w:p>
    <w:p>
      <w:pPr>
        <w:pStyle w:val="BodyText"/>
        <w:spacing w:before="4"/>
        <w:rPr>
          <w:sz w:val="19"/>
        </w:rPr>
      </w:pPr>
      <w:r>
        <w:rPr/>
        <w:drawing>
          <wp:anchor distT="0" distB="0" distL="0" distR="0" allowOverlap="1" layoutInCell="1" locked="0" behindDoc="0" simplePos="0" relativeHeight="223">
            <wp:simplePos x="0" y="0"/>
            <wp:positionH relativeFrom="page">
              <wp:posOffset>1371849</wp:posOffset>
            </wp:positionH>
            <wp:positionV relativeFrom="paragraph">
              <wp:posOffset>166663</wp:posOffset>
            </wp:positionV>
            <wp:extent cx="4989465" cy="3880866"/>
            <wp:effectExtent l="0" t="0" r="0" b="0"/>
            <wp:wrapTopAndBottom/>
            <wp:docPr id="189" name="image99.jpeg"/>
            <wp:cNvGraphicFramePr>
              <a:graphicFrameLocks noChangeAspect="1"/>
            </wp:cNvGraphicFramePr>
            <a:graphic>
              <a:graphicData uri="http://schemas.openxmlformats.org/drawingml/2006/picture">
                <pic:pic>
                  <pic:nvPicPr>
                    <pic:cNvPr id="190" name="image99.jpeg"/>
                    <pic:cNvPicPr/>
                  </pic:nvPicPr>
                  <pic:blipFill>
                    <a:blip r:embed="rId109" cstate="print"/>
                    <a:stretch>
                      <a:fillRect/>
                    </a:stretch>
                  </pic:blipFill>
                  <pic:spPr>
                    <a:xfrm>
                      <a:off x="0" y="0"/>
                      <a:ext cx="4989465" cy="3880866"/>
                    </a:xfrm>
                    <a:prstGeom prst="rect">
                      <a:avLst/>
                    </a:prstGeom>
                  </pic:spPr>
                </pic:pic>
              </a:graphicData>
            </a:graphic>
          </wp:anchor>
        </w:drawing>
      </w:r>
    </w:p>
    <w:p>
      <w:pPr>
        <w:pStyle w:val="BodyText"/>
        <w:spacing w:before="1"/>
        <w:rPr>
          <w:sz w:val="25"/>
        </w:rPr>
      </w:pPr>
    </w:p>
    <w:p>
      <w:pPr>
        <w:spacing w:before="0"/>
        <w:ind w:left="792" w:right="617" w:firstLine="0"/>
        <w:jc w:val="center"/>
        <w:rPr>
          <w:b/>
          <w:sz w:val="16"/>
        </w:rPr>
      </w:pPr>
      <w:r>
        <w:rPr>
          <w:b/>
          <w:sz w:val="16"/>
        </w:rPr>
        <w:t>Figure 14.7 Optical diagram of a phase contrast microscope</w:t>
      </w:r>
    </w:p>
    <w:p>
      <w:pPr>
        <w:spacing w:after="0"/>
        <w:jc w:val="center"/>
        <w:rPr>
          <w:sz w:val="16"/>
        </w:rPr>
        <w:sectPr>
          <w:pgSz w:w="11910" w:h="16840"/>
          <w:pgMar w:header="722" w:footer="748" w:top="1300" w:bottom="940" w:left="1500" w:right="1480"/>
        </w:sectPr>
      </w:pPr>
    </w:p>
    <w:p>
      <w:pPr>
        <w:pStyle w:val="Heading2"/>
      </w:pPr>
      <w:r>
        <w:rPr/>
        <w:t>Lecture 15 Light Microscopy-II</w:t>
      </w:r>
    </w:p>
    <w:p>
      <w:pPr>
        <w:pStyle w:val="BodyText"/>
        <w:spacing w:before="10"/>
        <w:rPr>
          <w:b/>
          <w:sz w:val="32"/>
        </w:rPr>
      </w:pPr>
    </w:p>
    <w:p>
      <w:pPr>
        <w:pStyle w:val="BodyText"/>
        <w:spacing w:line="360" w:lineRule="auto" w:before="1"/>
        <w:ind w:left="299" w:right="318"/>
        <w:jc w:val="both"/>
      </w:pPr>
      <w:r>
        <w:rPr/>
        <w:t>Fluorescence microscopy has come a long way since the application of fluorescence in microscopic studies in early 20</w:t>
      </w:r>
      <w:r>
        <w:rPr>
          <w:vertAlign w:val="superscript"/>
        </w:rPr>
        <w:t>th</w:t>
      </w:r>
      <w:r>
        <w:rPr>
          <w:vertAlign w:val="baseline"/>
        </w:rPr>
        <w:t> century. Unlike the other types of light microscopy that need special optics to enhance the contrast (see lecture 14), fluorescence in visible region of electromagnetic radiation is directly detected. Most biomolecules, however, are not fluorescent in the visible region. The cellular features, however, can be studied using extrinsic fluorescent probes that can go inside the cell and bind to the intracellular molecules with high specificity. Table 15.1 lists some of the fluorescent molecules routinely used for fluorescence microscopy with biological specimens. The fluorescence emission of the dyes used in biological microscopy span the entire visible region of the electromagnetic</w:t>
      </w:r>
      <w:r>
        <w:rPr>
          <w:spacing w:val="-8"/>
          <w:vertAlign w:val="baseline"/>
        </w:rPr>
        <w:t> </w:t>
      </w:r>
      <w:r>
        <w:rPr>
          <w:vertAlign w:val="baseline"/>
        </w:rPr>
        <w:t>spectrum.</w:t>
      </w:r>
    </w:p>
    <w:p>
      <w:pPr>
        <w:pStyle w:val="BodyText"/>
        <w:rPr>
          <w:sz w:val="18"/>
        </w:rPr>
      </w:pPr>
    </w:p>
    <w:tbl>
      <w:tblPr>
        <w:tblW w:w="0" w:type="auto"/>
        <w:jc w:val="left"/>
        <w:tblInd w:w="3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911"/>
        <w:gridCol w:w="2827"/>
        <w:gridCol w:w="2381"/>
      </w:tblGrid>
      <w:tr>
        <w:trPr>
          <w:trHeight w:val="474" w:hRule="atLeast"/>
        </w:trPr>
        <w:tc>
          <w:tcPr>
            <w:tcW w:w="8119" w:type="dxa"/>
            <w:gridSpan w:val="3"/>
          </w:tcPr>
          <w:p>
            <w:pPr>
              <w:pStyle w:val="TableParagraph"/>
              <w:spacing w:line="183" w:lineRule="exact"/>
              <w:ind w:left="1959" w:right="1948"/>
              <w:jc w:val="center"/>
              <w:rPr>
                <w:b/>
                <w:sz w:val="16"/>
              </w:rPr>
            </w:pPr>
            <w:r>
              <w:rPr>
                <w:b/>
                <w:sz w:val="16"/>
              </w:rPr>
              <w:t>Table 15.1 Fluorophores commonly used in biological studies</w:t>
            </w:r>
          </w:p>
        </w:tc>
      </w:tr>
      <w:tr>
        <w:trPr>
          <w:trHeight w:val="613" w:hRule="atLeast"/>
        </w:trPr>
        <w:tc>
          <w:tcPr>
            <w:tcW w:w="2911" w:type="dxa"/>
          </w:tcPr>
          <w:p>
            <w:pPr>
              <w:pStyle w:val="TableParagraph"/>
              <w:spacing w:line="275" w:lineRule="exact"/>
              <w:rPr>
                <w:b/>
                <w:sz w:val="24"/>
              </w:rPr>
            </w:pPr>
            <w:r>
              <w:rPr>
                <w:b/>
                <w:sz w:val="24"/>
              </w:rPr>
              <w:t>Fluorophore</w:t>
            </w:r>
          </w:p>
        </w:tc>
        <w:tc>
          <w:tcPr>
            <w:tcW w:w="2827" w:type="dxa"/>
          </w:tcPr>
          <w:p>
            <w:pPr>
              <w:pStyle w:val="TableParagraph"/>
              <w:spacing w:line="275" w:lineRule="exact"/>
              <w:rPr>
                <w:b/>
                <w:sz w:val="24"/>
              </w:rPr>
            </w:pPr>
            <w:r>
              <w:rPr>
                <w:b/>
                <w:sz w:val="24"/>
              </w:rPr>
              <w:t>Absorption maximum</w:t>
            </w:r>
          </w:p>
        </w:tc>
        <w:tc>
          <w:tcPr>
            <w:tcW w:w="2381" w:type="dxa"/>
          </w:tcPr>
          <w:p>
            <w:pPr>
              <w:pStyle w:val="TableParagraph"/>
              <w:spacing w:line="275" w:lineRule="exact"/>
              <w:ind w:left="108"/>
              <w:rPr>
                <w:b/>
                <w:sz w:val="24"/>
              </w:rPr>
            </w:pPr>
            <w:r>
              <w:rPr>
                <w:b/>
                <w:sz w:val="24"/>
              </w:rPr>
              <w:t>Emission maximum</w:t>
            </w:r>
          </w:p>
        </w:tc>
      </w:tr>
      <w:tr>
        <w:trPr>
          <w:trHeight w:val="613" w:hRule="atLeast"/>
        </w:trPr>
        <w:tc>
          <w:tcPr>
            <w:tcW w:w="2911" w:type="dxa"/>
          </w:tcPr>
          <w:p>
            <w:pPr>
              <w:pStyle w:val="TableParagraph"/>
              <w:rPr>
                <w:sz w:val="24"/>
              </w:rPr>
            </w:pPr>
            <w:r>
              <w:rPr>
                <w:sz w:val="24"/>
              </w:rPr>
              <w:t>DAPI</w:t>
            </w:r>
          </w:p>
        </w:tc>
        <w:tc>
          <w:tcPr>
            <w:tcW w:w="2827" w:type="dxa"/>
          </w:tcPr>
          <w:p>
            <w:pPr>
              <w:pStyle w:val="TableParagraph"/>
              <w:rPr>
                <w:sz w:val="24"/>
              </w:rPr>
            </w:pPr>
            <w:r>
              <w:rPr>
                <w:sz w:val="24"/>
              </w:rPr>
              <w:t>345</w:t>
            </w:r>
          </w:p>
        </w:tc>
        <w:tc>
          <w:tcPr>
            <w:tcW w:w="2381" w:type="dxa"/>
          </w:tcPr>
          <w:p>
            <w:pPr>
              <w:pStyle w:val="TableParagraph"/>
              <w:ind w:left="108"/>
              <w:rPr>
                <w:sz w:val="24"/>
              </w:rPr>
            </w:pPr>
            <w:r>
              <w:rPr>
                <w:sz w:val="24"/>
              </w:rPr>
              <w:t>460</w:t>
            </w:r>
          </w:p>
        </w:tc>
      </w:tr>
      <w:tr>
        <w:trPr>
          <w:trHeight w:val="614" w:hRule="atLeast"/>
        </w:trPr>
        <w:tc>
          <w:tcPr>
            <w:tcW w:w="2911" w:type="dxa"/>
          </w:tcPr>
          <w:p>
            <w:pPr>
              <w:pStyle w:val="TableParagraph"/>
              <w:rPr>
                <w:sz w:val="24"/>
              </w:rPr>
            </w:pPr>
            <w:r>
              <w:rPr>
                <w:sz w:val="24"/>
              </w:rPr>
              <w:t>Fluorescein isothiocyanate</w:t>
            </w:r>
          </w:p>
        </w:tc>
        <w:tc>
          <w:tcPr>
            <w:tcW w:w="2827" w:type="dxa"/>
          </w:tcPr>
          <w:p>
            <w:pPr>
              <w:pStyle w:val="TableParagraph"/>
              <w:rPr>
                <w:sz w:val="24"/>
              </w:rPr>
            </w:pPr>
            <w:r>
              <w:rPr>
                <w:sz w:val="24"/>
              </w:rPr>
              <w:t>492</w:t>
            </w:r>
          </w:p>
        </w:tc>
        <w:tc>
          <w:tcPr>
            <w:tcW w:w="2381" w:type="dxa"/>
          </w:tcPr>
          <w:p>
            <w:pPr>
              <w:pStyle w:val="TableParagraph"/>
              <w:ind w:left="108"/>
              <w:rPr>
                <w:sz w:val="24"/>
              </w:rPr>
            </w:pPr>
            <w:r>
              <w:rPr>
                <w:sz w:val="24"/>
              </w:rPr>
              <w:t>520</w:t>
            </w:r>
          </w:p>
        </w:tc>
      </w:tr>
      <w:tr>
        <w:trPr>
          <w:trHeight w:val="613" w:hRule="atLeast"/>
        </w:trPr>
        <w:tc>
          <w:tcPr>
            <w:tcW w:w="2911" w:type="dxa"/>
          </w:tcPr>
          <w:p>
            <w:pPr>
              <w:pStyle w:val="TableParagraph"/>
              <w:rPr>
                <w:sz w:val="24"/>
              </w:rPr>
            </w:pPr>
            <w:r>
              <w:rPr>
                <w:sz w:val="24"/>
              </w:rPr>
              <w:t>Cyanine based dyes</w:t>
            </w:r>
          </w:p>
        </w:tc>
        <w:tc>
          <w:tcPr>
            <w:tcW w:w="2827" w:type="dxa"/>
          </w:tcPr>
          <w:p>
            <w:pPr>
              <w:pStyle w:val="TableParagraph"/>
              <w:rPr>
                <w:sz w:val="24"/>
              </w:rPr>
            </w:pPr>
            <w:r>
              <w:rPr>
                <w:sz w:val="24"/>
              </w:rPr>
              <w:t>~490 – 740 nm</w:t>
            </w:r>
          </w:p>
        </w:tc>
        <w:tc>
          <w:tcPr>
            <w:tcW w:w="2381" w:type="dxa"/>
          </w:tcPr>
          <w:p>
            <w:pPr>
              <w:pStyle w:val="TableParagraph"/>
              <w:ind w:left="108"/>
              <w:rPr>
                <w:sz w:val="24"/>
              </w:rPr>
            </w:pPr>
            <w:r>
              <w:rPr>
                <w:sz w:val="24"/>
              </w:rPr>
              <w:t>506 to &gt; 750 nm</w:t>
            </w:r>
          </w:p>
        </w:tc>
      </w:tr>
      <w:tr>
        <w:trPr>
          <w:trHeight w:val="613" w:hRule="atLeast"/>
        </w:trPr>
        <w:tc>
          <w:tcPr>
            <w:tcW w:w="2911" w:type="dxa"/>
          </w:tcPr>
          <w:p>
            <w:pPr>
              <w:pStyle w:val="TableParagraph"/>
              <w:rPr>
                <w:sz w:val="24"/>
              </w:rPr>
            </w:pPr>
            <w:r>
              <w:rPr>
                <w:sz w:val="24"/>
              </w:rPr>
              <w:t>Lissamine-rhodamine B</w:t>
            </w:r>
          </w:p>
        </w:tc>
        <w:tc>
          <w:tcPr>
            <w:tcW w:w="2827" w:type="dxa"/>
          </w:tcPr>
          <w:p>
            <w:pPr>
              <w:pStyle w:val="TableParagraph"/>
              <w:rPr>
                <w:sz w:val="24"/>
              </w:rPr>
            </w:pPr>
            <w:r>
              <w:rPr>
                <w:sz w:val="24"/>
              </w:rPr>
              <w:t>575</w:t>
            </w:r>
          </w:p>
        </w:tc>
        <w:tc>
          <w:tcPr>
            <w:tcW w:w="2381" w:type="dxa"/>
          </w:tcPr>
          <w:p>
            <w:pPr>
              <w:pStyle w:val="TableParagraph"/>
              <w:ind w:left="108"/>
              <w:rPr>
                <w:sz w:val="24"/>
              </w:rPr>
            </w:pPr>
            <w:r>
              <w:rPr>
                <w:sz w:val="24"/>
              </w:rPr>
              <w:t>595</w:t>
            </w:r>
          </w:p>
        </w:tc>
      </w:tr>
      <w:tr>
        <w:trPr>
          <w:trHeight w:val="614" w:hRule="atLeast"/>
        </w:trPr>
        <w:tc>
          <w:tcPr>
            <w:tcW w:w="2911" w:type="dxa"/>
          </w:tcPr>
          <w:p>
            <w:pPr>
              <w:pStyle w:val="TableParagraph"/>
              <w:rPr>
                <w:sz w:val="24"/>
              </w:rPr>
            </w:pPr>
            <w:r>
              <w:rPr>
                <w:sz w:val="24"/>
              </w:rPr>
              <w:t>Texas red</w:t>
            </w:r>
          </w:p>
        </w:tc>
        <w:tc>
          <w:tcPr>
            <w:tcW w:w="2827" w:type="dxa"/>
          </w:tcPr>
          <w:p>
            <w:pPr>
              <w:pStyle w:val="TableParagraph"/>
              <w:rPr>
                <w:sz w:val="24"/>
              </w:rPr>
            </w:pPr>
            <w:r>
              <w:rPr>
                <w:sz w:val="24"/>
              </w:rPr>
              <w:t>596</w:t>
            </w:r>
          </w:p>
        </w:tc>
        <w:tc>
          <w:tcPr>
            <w:tcW w:w="2381" w:type="dxa"/>
          </w:tcPr>
          <w:p>
            <w:pPr>
              <w:pStyle w:val="TableParagraph"/>
              <w:ind w:left="108"/>
              <w:rPr>
                <w:sz w:val="24"/>
              </w:rPr>
            </w:pPr>
            <w:r>
              <w:rPr>
                <w:sz w:val="24"/>
              </w:rPr>
              <w:t>620</w:t>
            </w:r>
          </w:p>
        </w:tc>
      </w:tr>
      <w:tr>
        <w:trPr>
          <w:trHeight w:val="613" w:hRule="atLeast"/>
        </w:trPr>
        <w:tc>
          <w:tcPr>
            <w:tcW w:w="2911" w:type="dxa"/>
          </w:tcPr>
          <w:p>
            <w:pPr>
              <w:pStyle w:val="TableParagraph"/>
              <w:rPr>
                <w:sz w:val="24"/>
              </w:rPr>
            </w:pPr>
            <w:r>
              <w:rPr>
                <w:sz w:val="24"/>
              </w:rPr>
              <w:t>BODIPY-based dyes</w:t>
            </w:r>
          </w:p>
        </w:tc>
        <w:tc>
          <w:tcPr>
            <w:tcW w:w="2827" w:type="dxa"/>
          </w:tcPr>
          <w:p>
            <w:pPr>
              <w:pStyle w:val="TableParagraph"/>
              <w:rPr>
                <w:sz w:val="24"/>
              </w:rPr>
            </w:pPr>
            <w:r>
              <w:rPr>
                <w:sz w:val="24"/>
              </w:rPr>
              <w:t>~500 – 600 nm</w:t>
            </w:r>
          </w:p>
        </w:tc>
        <w:tc>
          <w:tcPr>
            <w:tcW w:w="2381" w:type="dxa"/>
          </w:tcPr>
          <w:p>
            <w:pPr>
              <w:pStyle w:val="TableParagraph"/>
              <w:ind w:left="108"/>
              <w:rPr>
                <w:sz w:val="24"/>
              </w:rPr>
            </w:pPr>
            <w:r>
              <w:rPr>
                <w:sz w:val="24"/>
              </w:rPr>
              <w:t>~500 to &gt;750 nm</w:t>
            </w:r>
          </w:p>
        </w:tc>
      </w:tr>
    </w:tbl>
    <w:p>
      <w:pPr>
        <w:pStyle w:val="BodyText"/>
        <w:rPr>
          <w:sz w:val="26"/>
        </w:rPr>
      </w:pPr>
    </w:p>
    <w:p>
      <w:pPr>
        <w:pStyle w:val="BodyText"/>
        <w:spacing w:before="10"/>
        <w:rPr>
          <w:sz w:val="26"/>
        </w:rPr>
      </w:pPr>
    </w:p>
    <w:p>
      <w:pPr>
        <w:pStyle w:val="BodyText"/>
        <w:spacing w:line="360" w:lineRule="auto"/>
        <w:ind w:left="300" w:right="314"/>
        <w:jc w:val="both"/>
      </w:pPr>
      <w:r>
        <w:rPr/>
        <w:t>Immunofluorescence, that makes use of the very high specificity of antibodies towards their targets, is a very useful method for studying cellular markers and organelles. Immunofluorescence microscopic analysis of cell surface markers is straightforward wherein the cells are treated with the fluorescently labeled antibodies and studied under microscope. For intracellular targets, however, the cells are usually fixed and permeabilized to allow the antibodies enter the cells. Fluorescence microscopic analysis of cells provides information about the distribution of the target molecules in the cell. The need of fixing and permeabilizing the cells puts a</w:t>
      </w:r>
      <w:r>
        <w:rPr>
          <w:spacing w:val="-12"/>
        </w:rPr>
        <w:t> </w:t>
      </w:r>
      <w:r>
        <w:rPr/>
        <w:t>restriction</w:t>
      </w:r>
    </w:p>
    <w:p>
      <w:pPr>
        <w:spacing w:after="0" w:line="360" w:lineRule="auto"/>
        <w:jc w:val="both"/>
        <w:sectPr>
          <w:pgSz w:w="11910" w:h="16840"/>
          <w:pgMar w:header="722" w:footer="748" w:top="1300" w:bottom="940" w:left="1500" w:right="1480"/>
        </w:sectPr>
      </w:pPr>
    </w:p>
    <w:p>
      <w:pPr>
        <w:pStyle w:val="BodyText"/>
        <w:spacing w:line="360" w:lineRule="auto" w:before="119"/>
        <w:ind w:left="299" w:right="315"/>
        <w:jc w:val="both"/>
      </w:pPr>
      <w:r>
        <w:rPr/>
        <w:t>on immunofluorescence to be used for studying the live cells. An alternative approach is to use small fluorescent dyes that can translocate across the biological membrane and bind to the cellular targets with high specificity. Another approach includes directly labeling the molecule under study with a fluorescent tag. Carboxyfluorescein, for example, is covalently linked to the N-terminus of the synthetic peptides for performing microscopic studies. This approach, however, may not be suitable for labeling the specific molecules inside a cell. Discovery of green fluorescent protein (GFP) and developments of its variants with different spectral properties has made it possible to selectively label the proteins inside the cell using molecular cloning (strategy shown in figure 15.1)</w:t>
      </w:r>
    </w:p>
    <w:p>
      <w:pPr>
        <w:pStyle w:val="BodyText"/>
        <w:spacing w:before="11"/>
        <w:rPr>
          <w:sz w:val="15"/>
        </w:rPr>
      </w:pPr>
      <w:r>
        <w:rPr/>
        <w:drawing>
          <wp:anchor distT="0" distB="0" distL="0" distR="0" allowOverlap="1" layoutInCell="1" locked="0" behindDoc="0" simplePos="0" relativeHeight="228">
            <wp:simplePos x="0" y="0"/>
            <wp:positionH relativeFrom="page">
              <wp:posOffset>1298147</wp:posOffset>
            </wp:positionH>
            <wp:positionV relativeFrom="paragraph">
              <wp:posOffset>141402</wp:posOffset>
            </wp:positionV>
            <wp:extent cx="4840864" cy="1028033"/>
            <wp:effectExtent l="0" t="0" r="0" b="0"/>
            <wp:wrapTopAndBottom/>
            <wp:docPr id="191" name="image100.jpeg"/>
            <wp:cNvGraphicFramePr>
              <a:graphicFrameLocks noChangeAspect="1"/>
            </wp:cNvGraphicFramePr>
            <a:graphic>
              <a:graphicData uri="http://schemas.openxmlformats.org/drawingml/2006/picture">
                <pic:pic>
                  <pic:nvPicPr>
                    <pic:cNvPr id="192" name="image100.jpeg"/>
                    <pic:cNvPicPr/>
                  </pic:nvPicPr>
                  <pic:blipFill>
                    <a:blip r:embed="rId110" cstate="print"/>
                    <a:stretch>
                      <a:fillRect/>
                    </a:stretch>
                  </pic:blipFill>
                  <pic:spPr>
                    <a:xfrm>
                      <a:off x="0" y="0"/>
                      <a:ext cx="4840864" cy="1028033"/>
                    </a:xfrm>
                    <a:prstGeom prst="rect">
                      <a:avLst/>
                    </a:prstGeom>
                  </pic:spPr>
                </pic:pic>
              </a:graphicData>
            </a:graphic>
          </wp:anchor>
        </w:drawing>
      </w:r>
    </w:p>
    <w:p>
      <w:pPr>
        <w:pStyle w:val="BodyText"/>
        <w:spacing w:before="5"/>
        <w:rPr>
          <w:sz w:val="29"/>
        </w:rPr>
      </w:pPr>
    </w:p>
    <w:p>
      <w:pPr>
        <w:spacing w:line="362" w:lineRule="auto" w:before="0"/>
        <w:ind w:left="496" w:right="311" w:firstLine="0"/>
        <w:jc w:val="left"/>
        <w:rPr>
          <w:b/>
          <w:sz w:val="16"/>
        </w:rPr>
      </w:pPr>
      <w:r>
        <w:rPr>
          <w:b/>
          <w:sz w:val="16"/>
        </w:rPr>
        <w:t>Figure 15.1 Strategy for selectively labeling a protein in a cell. The cDNA for the protein under study is fused with that of cDNA of GFP or any of its variants. The fusion DNA construct is then overexpressed in the cell.</w:t>
      </w:r>
    </w:p>
    <w:p>
      <w:pPr>
        <w:pStyle w:val="BodyText"/>
        <w:spacing w:before="11"/>
        <w:rPr>
          <w:b/>
          <w:sz w:val="16"/>
        </w:rPr>
      </w:pPr>
    </w:p>
    <w:p>
      <w:pPr>
        <w:pStyle w:val="BodyText"/>
        <w:spacing w:line="360" w:lineRule="auto"/>
        <w:ind w:left="300" w:right="316"/>
        <w:jc w:val="both"/>
      </w:pPr>
      <w:r>
        <w:rPr/>
        <w:t>It is possible to put the GFP (or its variant) tag at either ends of the protein. This is important for labeling the proteins that have localization signals at the N-terminus; N- terminal labeling of such proteins would abolish their proper localization.</w:t>
      </w:r>
    </w:p>
    <w:p>
      <w:pPr>
        <w:spacing w:after="0" w:line="360" w:lineRule="auto"/>
        <w:jc w:val="both"/>
        <w:sectPr>
          <w:pgSz w:w="11910" w:h="16840"/>
          <w:pgMar w:header="722" w:footer="748" w:top="1300" w:bottom="940" w:left="1500" w:right="1480"/>
        </w:sectPr>
      </w:pPr>
    </w:p>
    <w:p>
      <w:pPr>
        <w:pStyle w:val="Heading4"/>
        <w:spacing w:before="124"/>
      </w:pPr>
      <w:r>
        <w:rPr/>
        <w:t>Fluorescence microscope</w:t>
      </w:r>
    </w:p>
    <w:p>
      <w:pPr>
        <w:pStyle w:val="BodyText"/>
        <w:rPr>
          <w:b/>
          <w:sz w:val="29"/>
        </w:rPr>
      </w:pPr>
    </w:p>
    <w:p>
      <w:pPr>
        <w:pStyle w:val="BodyText"/>
        <w:spacing w:line="360" w:lineRule="auto"/>
        <w:ind w:left="300" w:right="315"/>
        <w:jc w:val="both"/>
      </w:pPr>
      <w:r>
        <w:rPr/>
        <w:t>Figure 15.2 shows the optical diagram of an epifluorescence microscope, perhaps the simplest of all fluorescence microscopes. In an epifluorescence microscope, the illumination of the specimen as well as the collection of the fluorescence light is achieved by a single lens. This has become possible due to the incorporation of dichroic mirror in the optics. A dichroic mirror is largely reflective for the light below a threshold wavelength and transmissive for the light above that wavelength.</w:t>
      </w:r>
    </w:p>
    <w:p>
      <w:pPr>
        <w:pStyle w:val="BodyText"/>
        <w:spacing w:before="10"/>
        <w:rPr>
          <w:sz w:val="19"/>
        </w:rPr>
      </w:pPr>
      <w:r>
        <w:rPr/>
        <w:drawing>
          <wp:anchor distT="0" distB="0" distL="0" distR="0" allowOverlap="1" layoutInCell="1" locked="0" behindDoc="0" simplePos="0" relativeHeight="229">
            <wp:simplePos x="0" y="0"/>
            <wp:positionH relativeFrom="page">
              <wp:posOffset>1582867</wp:posOffset>
            </wp:positionH>
            <wp:positionV relativeFrom="paragraph">
              <wp:posOffset>170192</wp:posOffset>
            </wp:positionV>
            <wp:extent cx="4580649" cy="3533013"/>
            <wp:effectExtent l="0" t="0" r="0" b="0"/>
            <wp:wrapTopAndBottom/>
            <wp:docPr id="193" name="image101.jpeg" descr="Figure 15.2.tif"/>
            <wp:cNvGraphicFramePr>
              <a:graphicFrameLocks noChangeAspect="1"/>
            </wp:cNvGraphicFramePr>
            <a:graphic>
              <a:graphicData uri="http://schemas.openxmlformats.org/drawingml/2006/picture">
                <pic:pic>
                  <pic:nvPicPr>
                    <pic:cNvPr id="194" name="image101.jpeg"/>
                    <pic:cNvPicPr/>
                  </pic:nvPicPr>
                  <pic:blipFill>
                    <a:blip r:embed="rId111" cstate="print"/>
                    <a:stretch>
                      <a:fillRect/>
                    </a:stretch>
                  </pic:blipFill>
                  <pic:spPr>
                    <a:xfrm>
                      <a:off x="0" y="0"/>
                      <a:ext cx="4580649" cy="3533013"/>
                    </a:xfrm>
                    <a:prstGeom prst="rect">
                      <a:avLst/>
                    </a:prstGeom>
                  </pic:spPr>
                </pic:pic>
              </a:graphicData>
            </a:graphic>
          </wp:anchor>
        </w:drawing>
      </w:r>
    </w:p>
    <w:p>
      <w:pPr>
        <w:pStyle w:val="BodyText"/>
        <w:spacing w:before="8"/>
      </w:pPr>
    </w:p>
    <w:p>
      <w:pPr>
        <w:spacing w:before="0"/>
        <w:ind w:left="796" w:right="617" w:firstLine="0"/>
        <w:jc w:val="center"/>
        <w:rPr>
          <w:b/>
          <w:sz w:val="16"/>
        </w:rPr>
      </w:pPr>
      <w:r>
        <w:rPr>
          <w:b/>
          <w:sz w:val="16"/>
        </w:rPr>
        <w:t>Figure 15.2 A diagram showing the optical path in an epifluorescence microscope.</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6"/>
        <w:jc w:val="both"/>
      </w:pPr>
      <w:r>
        <w:rPr/>
        <w:t>The microscope has a high power lamp source, usually a mercury or xenon arc lamp. An excitation filter transmits the band of the excitation radiation. The excitation radiation is reflected by the dichroic mirror towards the condenser/objective lens that focuses the light on the specimen. Light emitted by the fluorescent molecules (higher wavelength due to Stokes shift) is collected by the same lens and is transmitted by the dichroic mirror towards the ocular lens. Figure 15.3 shows a comparison between a brightfield and a fluorescence image of the Cos-7 cells expressing GFP.</w:t>
      </w:r>
    </w:p>
    <w:p>
      <w:pPr>
        <w:pStyle w:val="BodyText"/>
        <w:spacing w:before="11"/>
        <w:rPr>
          <w:sz w:val="14"/>
        </w:rPr>
      </w:pPr>
      <w:r>
        <w:rPr/>
        <w:drawing>
          <wp:anchor distT="0" distB="0" distL="0" distR="0" allowOverlap="1" layoutInCell="1" locked="0" behindDoc="0" simplePos="0" relativeHeight="230">
            <wp:simplePos x="0" y="0"/>
            <wp:positionH relativeFrom="page">
              <wp:posOffset>1760473</wp:posOffset>
            </wp:positionH>
            <wp:positionV relativeFrom="paragraph">
              <wp:posOffset>134046</wp:posOffset>
            </wp:positionV>
            <wp:extent cx="4187948" cy="2023872"/>
            <wp:effectExtent l="0" t="0" r="0" b="0"/>
            <wp:wrapTopAndBottom/>
            <wp:docPr id="195" name="image102.jpeg" descr="Figure 15.3.tif"/>
            <wp:cNvGraphicFramePr>
              <a:graphicFrameLocks noChangeAspect="1"/>
            </wp:cNvGraphicFramePr>
            <a:graphic>
              <a:graphicData uri="http://schemas.openxmlformats.org/drawingml/2006/picture">
                <pic:pic>
                  <pic:nvPicPr>
                    <pic:cNvPr id="196" name="image102.jpeg"/>
                    <pic:cNvPicPr/>
                  </pic:nvPicPr>
                  <pic:blipFill>
                    <a:blip r:embed="rId112" cstate="print"/>
                    <a:stretch>
                      <a:fillRect/>
                    </a:stretch>
                  </pic:blipFill>
                  <pic:spPr>
                    <a:xfrm>
                      <a:off x="0" y="0"/>
                      <a:ext cx="4187948" cy="2023872"/>
                    </a:xfrm>
                    <a:prstGeom prst="rect">
                      <a:avLst/>
                    </a:prstGeom>
                  </pic:spPr>
                </pic:pic>
              </a:graphicData>
            </a:graphic>
          </wp:anchor>
        </w:drawing>
      </w:r>
    </w:p>
    <w:p>
      <w:pPr>
        <w:pStyle w:val="BodyText"/>
        <w:spacing w:before="3"/>
        <w:rPr>
          <w:sz w:val="26"/>
        </w:rPr>
      </w:pPr>
    </w:p>
    <w:p>
      <w:pPr>
        <w:spacing w:before="0"/>
        <w:ind w:left="795" w:right="617" w:firstLine="0"/>
        <w:jc w:val="center"/>
        <w:rPr>
          <w:b/>
          <w:sz w:val="16"/>
        </w:rPr>
      </w:pPr>
      <w:r>
        <w:rPr>
          <w:b/>
          <w:sz w:val="16"/>
        </w:rPr>
        <w:t>Figure 15.3 Bright-field (A) and epifluorescence (B) images of Cos-7 cells expressing GFP.</w:t>
      </w:r>
    </w:p>
    <w:p>
      <w:pPr>
        <w:pStyle w:val="BodyText"/>
        <w:spacing w:before="1"/>
        <w:rPr>
          <w:b/>
          <w:sz w:val="25"/>
        </w:rPr>
      </w:pPr>
    </w:p>
    <w:p>
      <w:pPr>
        <w:pStyle w:val="BodyText"/>
        <w:ind w:left="300"/>
        <w:jc w:val="both"/>
      </w:pPr>
      <w:r>
        <w:rPr/>
        <w:t>Light microscopes come in two designs: upright and inverted (Figure 15.4).</w:t>
      </w:r>
    </w:p>
    <w:p>
      <w:pPr>
        <w:pStyle w:val="BodyText"/>
        <w:spacing w:before="4"/>
        <w:rPr>
          <w:sz w:val="28"/>
        </w:rPr>
      </w:pPr>
      <w:r>
        <w:rPr/>
        <w:drawing>
          <wp:anchor distT="0" distB="0" distL="0" distR="0" allowOverlap="1" layoutInCell="1" locked="0" behindDoc="0" simplePos="0" relativeHeight="231">
            <wp:simplePos x="0" y="0"/>
            <wp:positionH relativeFrom="page">
              <wp:posOffset>1321773</wp:posOffset>
            </wp:positionH>
            <wp:positionV relativeFrom="paragraph">
              <wp:posOffset>232359</wp:posOffset>
            </wp:positionV>
            <wp:extent cx="5105320" cy="1789842"/>
            <wp:effectExtent l="0" t="0" r="0" b="0"/>
            <wp:wrapTopAndBottom/>
            <wp:docPr id="197" name="image103.jpeg" descr="Figure 15.4.tif"/>
            <wp:cNvGraphicFramePr>
              <a:graphicFrameLocks noChangeAspect="1"/>
            </wp:cNvGraphicFramePr>
            <a:graphic>
              <a:graphicData uri="http://schemas.openxmlformats.org/drawingml/2006/picture">
                <pic:pic>
                  <pic:nvPicPr>
                    <pic:cNvPr id="198" name="image103.jpeg"/>
                    <pic:cNvPicPr/>
                  </pic:nvPicPr>
                  <pic:blipFill>
                    <a:blip r:embed="rId113" cstate="print"/>
                    <a:stretch>
                      <a:fillRect/>
                    </a:stretch>
                  </pic:blipFill>
                  <pic:spPr>
                    <a:xfrm>
                      <a:off x="0" y="0"/>
                      <a:ext cx="5105320" cy="1789842"/>
                    </a:xfrm>
                    <a:prstGeom prst="rect">
                      <a:avLst/>
                    </a:prstGeom>
                  </pic:spPr>
                </pic:pic>
              </a:graphicData>
            </a:graphic>
          </wp:anchor>
        </w:drawing>
      </w:r>
    </w:p>
    <w:p>
      <w:pPr>
        <w:pStyle w:val="BodyText"/>
        <w:spacing w:before="4"/>
        <w:rPr>
          <w:sz w:val="27"/>
        </w:rPr>
      </w:pPr>
    </w:p>
    <w:p>
      <w:pPr>
        <w:spacing w:before="0"/>
        <w:ind w:left="793" w:right="617" w:firstLine="0"/>
        <w:jc w:val="center"/>
        <w:rPr>
          <w:b/>
          <w:sz w:val="16"/>
        </w:rPr>
      </w:pPr>
      <w:r>
        <w:rPr>
          <w:b/>
          <w:sz w:val="16"/>
        </w:rPr>
        <w:t>Figure 15.4 Designs of upright (A) and inverted (B) microscopes</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7"/>
        <w:jc w:val="both"/>
      </w:pPr>
      <w:r>
        <w:rPr/>
        <w:t>In an upright microscope, the objective turret is usually fixed and the image is focused by moving the sample stage up and down. In an inverted microscope, the sample stage is fixed and objective turret is moved up and down to focus the final image. Inverted microscopes offer certain advantages over upright microscopes and are therefore becoming more popular:</w:t>
      </w:r>
    </w:p>
    <w:p>
      <w:pPr>
        <w:pStyle w:val="ListParagraph"/>
        <w:numPr>
          <w:ilvl w:val="0"/>
          <w:numId w:val="16"/>
        </w:numPr>
        <w:tabs>
          <w:tab w:pos="1080" w:val="left" w:leader="none"/>
        </w:tabs>
        <w:spacing w:line="360" w:lineRule="auto" w:before="201" w:after="0"/>
        <w:ind w:left="1080" w:right="317" w:hanging="488"/>
        <w:jc w:val="both"/>
        <w:rPr>
          <w:sz w:val="24"/>
        </w:rPr>
      </w:pPr>
      <w:r>
        <w:rPr>
          <w:sz w:val="24"/>
        </w:rPr>
        <w:t>As the objective turret is at the bottom of the stage, the sample stage is more accessible allowing manipulations of the</w:t>
      </w:r>
      <w:r>
        <w:rPr>
          <w:spacing w:val="-7"/>
          <w:sz w:val="24"/>
        </w:rPr>
        <w:t> </w:t>
      </w:r>
      <w:r>
        <w:rPr>
          <w:sz w:val="24"/>
        </w:rPr>
        <w:t>sample.</w:t>
      </w:r>
    </w:p>
    <w:p>
      <w:pPr>
        <w:pStyle w:val="ListParagraph"/>
        <w:numPr>
          <w:ilvl w:val="0"/>
          <w:numId w:val="16"/>
        </w:numPr>
        <w:tabs>
          <w:tab w:pos="1080" w:val="left" w:leader="none"/>
        </w:tabs>
        <w:spacing w:line="240" w:lineRule="auto" w:before="0" w:after="0"/>
        <w:ind w:left="1080" w:right="0" w:hanging="555"/>
        <w:jc w:val="both"/>
        <w:rPr>
          <w:sz w:val="24"/>
        </w:rPr>
      </w:pPr>
      <w:r>
        <w:rPr>
          <w:sz w:val="24"/>
        </w:rPr>
        <w:t>The specimen need not be covered at the top by a</w:t>
      </w:r>
      <w:r>
        <w:rPr>
          <w:spacing w:val="-9"/>
          <w:sz w:val="24"/>
        </w:rPr>
        <w:t> </w:t>
      </w:r>
      <w:r>
        <w:rPr>
          <w:sz w:val="24"/>
        </w:rPr>
        <w:t>coverglass.</w:t>
      </w:r>
    </w:p>
    <w:p>
      <w:pPr>
        <w:pStyle w:val="ListParagraph"/>
        <w:numPr>
          <w:ilvl w:val="0"/>
          <w:numId w:val="16"/>
        </w:numPr>
        <w:tabs>
          <w:tab w:pos="1080" w:val="left" w:leader="none"/>
        </w:tabs>
        <w:spacing w:line="360" w:lineRule="auto" w:before="137" w:after="0"/>
        <w:ind w:left="1079" w:right="319" w:hanging="620"/>
        <w:jc w:val="both"/>
        <w:rPr>
          <w:sz w:val="24"/>
        </w:rPr>
      </w:pPr>
      <w:r>
        <w:rPr>
          <w:sz w:val="24"/>
        </w:rPr>
        <w:t>The centre of mass is closer to the bench thereby providing more mechanical stability to the</w:t>
      </w:r>
      <w:r>
        <w:rPr>
          <w:spacing w:val="-9"/>
          <w:sz w:val="24"/>
        </w:rPr>
        <w:t> </w:t>
      </w:r>
      <w:r>
        <w:rPr>
          <w:sz w:val="24"/>
        </w:rPr>
        <w:t>microscope.</w:t>
      </w:r>
    </w:p>
    <w:p>
      <w:pPr>
        <w:pStyle w:val="ListParagraph"/>
        <w:numPr>
          <w:ilvl w:val="0"/>
          <w:numId w:val="16"/>
        </w:numPr>
        <w:tabs>
          <w:tab w:pos="1080" w:val="left" w:leader="none"/>
        </w:tabs>
        <w:spacing w:line="360" w:lineRule="auto" w:before="0" w:after="0"/>
        <w:ind w:left="1080" w:right="316" w:hanging="608"/>
        <w:jc w:val="both"/>
        <w:rPr>
          <w:sz w:val="24"/>
        </w:rPr>
      </w:pPr>
      <w:r>
        <w:rPr>
          <w:sz w:val="24"/>
        </w:rPr>
        <w:t>Inverted design provides an excellent platform for attaching the total internal reflection fluorescence accessories (discussed later in this</w:t>
      </w:r>
      <w:r>
        <w:rPr>
          <w:spacing w:val="-4"/>
          <w:sz w:val="24"/>
        </w:rPr>
        <w:t> </w:t>
      </w:r>
      <w:r>
        <w:rPr>
          <w:sz w:val="24"/>
        </w:rPr>
        <w:t>lecture).</w:t>
      </w:r>
    </w:p>
    <w:p>
      <w:pPr>
        <w:pStyle w:val="Heading4"/>
        <w:spacing w:before="204"/>
        <w:jc w:val="left"/>
      </w:pPr>
      <w:r>
        <w:rPr/>
        <w:t>Autofluorescence</w:t>
      </w:r>
    </w:p>
    <w:p>
      <w:pPr>
        <w:pStyle w:val="BodyText"/>
        <w:rPr>
          <w:b/>
          <w:sz w:val="29"/>
        </w:rPr>
      </w:pPr>
    </w:p>
    <w:p>
      <w:pPr>
        <w:pStyle w:val="BodyText"/>
        <w:spacing w:line="360" w:lineRule="auto"/>
        <w:ind w:left="300" w:right="313"/>
        <w:jc w:val="both"/>
      </w:pPr>
      <w:r>
        <w:rPr/>
        <w:t>Many of the essential molecules, that are present in all the cells, are fluorescent.  These include B-vitamins, flavins, cytochromes, nucleotides (FMN, FAD, NADH), etc. The background fluorescence from these molecules is maximum when cells are excited in the UV/blue region. The fluorescence from these endogenous molecules can be mistaken for the signal fluorescence and therefore needs to be carefully analyzed.</w:t>
      </w:r>
    </w:p>
    <w:p>
      <w:pPr>
        <w:spacing w:after="0" w:line="360" w:lineRule="auto"/>
        <w:jc w:val="both"/>
        <w:sectPr>
          <w:pgSz w:w="11910" w:h="16840"/>
          <w:pgMar w:header="722" w:footer="748" w:top="1300" w:bottom="940" w:left="1500" w:right="1480"/>
        </w:sectPr>
      </w:pPr>
    </w:p>
    <w:p>
      <w:pPr>
        <w:pStyle w:val="Heading4"/>
        <w:spacing w:before="124"/>
      </w:pPr>
      <w:r>
        <w:rPr/>
        <w:t>Total internal reflection fluorescence (TIRF)</w:t>
      </w:r>
    </w:p>
    <w:p>
      <w:pPr>
        <w:pStyle w:val="BodyText"/>
        <w:rPr>
          <w:b/>
          <w:sz w:val="29"/>
        </w:rPr>
      </w:pPr>
    </w:p>
    <w:p>
      <w:pPr>
        <w:pStyle w:val="BodyText"/>
        <w:spacing w:line="360" w:lineRule="auto"/>
        <w:ind w:left="300" w:right="318"/>
        <w:jc w:val="both"/>
      </w:pPr>
      <w:r>
        <w:rPr/>
        <w:t>The phenomenon of total internal reflection is described in lecture 10 (Figure 10.5). The evanescent field decays exponentially; the molecules in the close proximity of the slide/culture plate are selectively excited. The fluorescence therefore, is observed from a thin layer of the sample. Such an arrangement is particularly useful for studying membrane proteins (Figure</w:t>
      </w:r>
      <w:r>
        <w:rPr>
          <w:spacing w:val="-6"/>
        </w:rPr>
        <w:t> </w:t>
      </w:r>
      <w:r>
        <w:rPr/>
        <w:t>15.5).</w:t>
      </w:r>
    </w:p>
    <w:p>
      <w:pPr>
        <w:pStyle w:val="BodyText"/>
        <w:spacing w:before="9"/>
        <w:rPr>
          <w:sz w:val="14"/>
        </w:rPr>
      </w:pPr>
      <w:r>
        <w:rPr/>
        <w:drawing>
          <wp:anchor distT="0" distB="0" distL="0" distR="0" allowOverlap="1" layoutInCell="1" locked="0" behindDoc="0" simplePos="0" relativeHeight="232">
            <wp:simplePos x="0" y="0"/>
            <wp:positionH relativeFrom="page">
              <wp:posOffset>1289862</wp:posOffset>
            </wp:positionH>
            <wp:positionV relativeFrom="paragraph">
              <wp:posOffset>132764</wp:posOffset>
            </wp:positionV>
            <wp:extent cx="5307148" cy="4157472"/>
            <wp:effectExtent l="0" t="0" r="0" b="0"/>
            <wp:wrapTopAndBottom/>
            <wp:docPr id="199" name="image104.jpeg" descr="Figure 15.5.tif"/>
            <wp:cNvGraphicFramePr>
              <a:graphicFrameLocks noChangeAspect="1"/>
            </wp:cNvGraphicFramePr>
            <a:graphic>
              <a:graphicData uri="http://schemas.openxmlformats.org/drawingml/2006/picture">
                <pic:pic>
                  <pic:nvPicPr>
                    <pic:cNvPr id="200" name="image104.jpeg"/>
                    <pic:cNvPicPr/>
                  </pic:nvPicPr>
                  <pic:blipFill>
                    <a:blip r:embed="rId114" cstate="print"/>
                    <a:stretch>
                      <a:fillRect/>
                    </a:stretch>
                  </pic:blipFill>
                  <pic:spPr>
                    <a:xfrm>
                      <a:off x="0" y="0"/>
                      <a:ext cx="5307148" cy="4157472"/>
                    </a:xfrm>
                    <a:prstGeom prst="rect">
                      <a:avLst/>
                    </a:prstGeom>
                  </pic:spPr>
                </pic:pic>
              </a:graphicData>
            </a:graphic>
          </wp:anchor>
        </w:drawing>
      </w:r>
    </w:p>
    <w:p>
      <w:pPr>
        <w:pStyle w:val="BodyText"/>
        <w:spacing w:before="8"/>
      </w:pPr>
    </w:p>
    <w:p>
      <w:pPr>
        <w:spacing w:before="1"/>
        <w:ind w:left="793" w:right="617" w:firstLine="0"/>
        <w:jc w:val="center"/>
        <w:rPr>
          <w:b/>
          <w:sz w:val="16"/>
        </w:rPr>
      </w:pPr>
      <w:r>
        <w:rPr>
          <w:b/>
          <w:sz w:val="16"/>
        </w:rPr>
        <w:t>Figure 15.5 A diagrammatic representation of studying membrane proteins using TIRF</w:t>
      </w:r>
    </w:p>
    <w:p>
      <w:pPr>
        <w:spacing w:after="0"/>
        <w:jc w:val="center"/>
        <w:rPr>
          <w:sz w:val="16"/>
        </w:rPr>
        <w:sectPr>
          <w:pgSz w:w="11910" w:h="16840"/>
          <w:pgMar w:header="722" w:footer="748" w:top="1300" w:bottom="940" w:left="1500" w:right="1480"/>
        </w:sectPr>
      </w:pPr>
    </w:p>
    <w:p>
      <w:pPr>
        <w:pStyle w:val="Heading2"/>
      </w:pPr>
      <w:r>
        <w:rPr/>
        <w:t>Lecture 16 Light Microscopy-III</w:t>
      </w:r>
    </w:p>
    <w:p>
      <w:pPr>
        <w:pStyle w:val="BodyText"/>
        <w:spacing w:before="10"/>
        <w:rPr>
          <w:b/>
          <w:sz w:val="32"/>
        </w:rPr>
      </w:pPr>
    </w:p>
    <w:p>
      <w:pPr>
        <w:pStyle w:val="BodyText"/>
        <w:spacing w:line="360" w:lineRule="auto" w:before="1"/>
        <w:ind w:left="300" w:right="317"/>
        <w:jc w:val="both"/>
      </w:pPr>
      <w:r>
        <w:rPr/>
        <w:t>Consider a thick biological specimen studied by conventional fluorescence microscopy. The light is emitted by the entire illuminated volume of the sample; the out of focus light results in higher background intensity and affects the image contrast (Figure 16.1).</w:t>
      </w:r>
    </w:p>
    <w:p>
      <w:pPr>
        <w:pStyle w:val="BodyText"/>
        <w:spacing w:before="4"/>
        <w:rPr>
          <w:sz w:val="19"/>
        </w:rPr>
      </w:pPr>
      <w:r>
        <w:rPr/>
        <w:drawing>
          <wp:anchor distT="0" distB="0" distL="0" distR="0" allowOverlap="1" layoutInCell="1" locked="0" behindDoc="0" simplePos="0" relativeHeight="233">
            <wp:simplePos x="0" y="0"/>
            <wp:positionH relativeFrom="page">
              <wp:posOffset>2240482</wp:posOffset>
            </wp:positionH>
            <wp:positionV relativeFrom="paragraph">
              <wp:posOffset>166404</wp:posOffset>
            </wp:positionV>
            <wp:extent cx="3254560" cy="4358640"/>
            <wp:effectExtent l="0" t="0" r="0" b="0"/>
            <wp:wrapTopAndBottom/>
            <wp:docPr id="201" name="image105.jpeg" descr="figure 16.1.TIF"/>
            <wp:cNvGraphicFramePr>
              <a:graphicFrameLocks noChangeAspect="1"/>
            </wp:cNvGraphicFramePr>
            <a:graphic>
              <a:graphicData uri="http://schemas.openxmlformats.org/drawingml/2006/picture">
                <pic:pic>
                  <pic:nvPicPr>
                    <pic:cNvPr id="202" name="image105.jpeg"/>
                    <pic:cNvPicPr/>
                  </pic:nvPicPr>
                  <pic:blipFill>
                    <a:blip r:embed="rId115" cstate="print"/>
                    <a:stretch>
                      <a:fillRect/>
                    </a:stretch>
                  </pic:blipFill>
                  <pic:spPr>
                    <a:xfrm>
                      <a:off x="0" y="0"/>
                      <a:ext cx="3254560" cy="4358640"/>
                    </a:xfrm>
                    <a:prstGeom prst="rect">
                      <a:avLst/>
                    </a:prstGeom>
                  </pic:spPr>
                </pic:pic>
              </a:graphicData>
            </a:graphic>
          </wp:anchor>
        </w:drawing>
      </w:r>
    </w:p>
    <w:p>
      <w:pPr>
        <w:pStyle w:val="BodyText"/>
        <w:spacing w:before="9"/>
        <w:rPr>
          <w:sz w:val="29"/>
        </w:rPr>
      </w:pPr>
    </w:p>
    <w:p>
      <w:pPr>
        <w:spacing w:before="0"/>
        <w:ind w:left="795" w:right="617" w:firstLine="0"/>
        <w:jc w:val="center"/>
        <w:rPr>
          <w:b/>
          <w:sz w:val="16"/>
        </w:rPr>
      </w:pPr>
      <w:r>
        <w:rPr>
          <w:b/>
          <w:sz w:val="16"/>
        </w:rPr>
        <w:t>Figure 16.1 Imaging of a thick sample using conventional wide-field microcopy</w:t>
      </w:r>
    </w:p>
    <w:p>
      <w:pPr>
        <w:pStyle w:val="BodyText"/>
        <w:spacing w:before="1"/>
        <w:rPr>
          <w:b/>
          <w:sz w:val="25"/>
        </w:rPr>
      </w:pPr>
    </w:p>
    <w:p>
      <w:pPr>
        <w:pStyle w:val="BodyText"/>
        <w:spacing w:line="360" w:lineRule="auto"/>
        <w:ind w:left="300" w:right="315"/>
        <w:jc w:val="both"/>
      </w:pPr>
      <w:r>
        <w:rPr/>
        <w:t>We have seen how total internal reflection fluorescence (TIRF) microscopy eliminates the light from most of the sample except the thin layer of the sample in contact with the sample slide. An intrinsic limitation of the TIRF microscopy is that the thin layer that can be studied is always fixed. It would be interesting if any thin layer within the specimen could be studied; this would allow localization of the molecules within the cell. Laser scanning confocal microscopy does exactly that. Figure 16.2 shows how a small modification in a fluorescence microscope allows collection of fluorescence from a thin section of the sample. Including a pinhole before the eyepiece rejects the</w:t>
      </w:r>
    </w:p>
    <w:p>
      <w:pPr>
        <w:spacing w:after="0" w:line="360" w:lineRule="auto"/>
        <w:jc w:val="both"/>
        <w:sectPr>
          <w:pgSz w:w="11910" w:h="16840"/>
          <w:pgMar w:header="722" w:footer="748" w:top="1300" w:bottom="940" w:left="1500" w:right="1480"/>
        </w:sectPr>
      </w:pPr>
    </w:p>
    <w:p>
      <w:pPr>
        <w:pStyle w:val="BodyText"/>
        <w:spacing w:line="360" w:lineRule="auto" w:before="119"/>
        <w:ind w:left="299" w:right="320"/>
        <w:jc w:val="both"/>
      </w:pPr>
      <w:r>
        <w:rPr/>
        <w:t>light coming from most of the sample; the light is collected only from a thin section of the sample resulting in a sharp image (Figure 16.2B). This rejection of out-of-focus light by using a pinhole is the principle behind confocal microscopy.</w:t>
      </w:r>
    </w:p>
    <w:p>
      <w:pPr>
        <w:pStyle w:val="BodyText"/>
        <w:spacing w:before="9"/>
        <w:rPr>
          <w:sz w:val="14"/>
        </w:rPr>
      </w:pPr>
      <w:r>
        <w:rPr/>
        <w:drawing>
          <wp:anchor distT="0" distB="0" distL="0" distR="0" allowOverlap="1" layoutInCell="1" locked="0" behindDoc="0" simplePos="0" relativeHeight="234">
            <wp:simplePos x="0" y="0"/>
            <wp:positionH relativeFrom="page">
              <wp:posOffset>1270800</wp:posOffset>
            </wp:positionH>
            <wp:positionV relativeFrom="paragraph">
              <wp:posOffset>133169</wp:posOffset>
            </wp:positionV>
            <wp:extent cx="5142883" cy="2621279"/>
            <wp:effectExtent l="0" t="0" r="0" b="0"/>
            <wp:wrapTopAndBottom/>
            <wp:docPr id="203" name="image106.jpeg"/>
            <wp:cNvGraphicFramePr>
              <a:graphicFrameLocks noChangeAspect="1"/>
            </wp:cNvGraphicFramePr>
            <a:graphic>
              <a:graphicData uri="http://schemas.openxmlformats.org/drawingml/2006/picture">
                <pic:pic>
                  <pic:nvPicPr>
                    <pic:cNvPr id="204" name="image106.jpeg"/>
                    <pic:cNvPicPr/>
                  </pic:nvPicPr>
                  <pic:blipFill>
                    <a:blip r:embed="rId116" cstate="print"/>
                    <a:stretch>
                      <a:fillRect/>
                    </a:stretch>
                  </pic:blipFill>
                  <pic:spPr>
                    <a:xfrm>
                      <a:off x="0" y="0"/>
                      <a:ext cx="5142883" cy="2621279"/>
                    </a:xfrm>
                    <a:prstGeom prst="rect">
                      <a:avLst/>
                    </a:prstGeom>
                  </pic:spPr>
                </pic:pic>
              </a:graphicData>
            </a:graphic>
          </wp:anchor>
        </w:drawing>
      </w:r>
    </w:p>
    <w:p>
      <w:pPr>
        <w:pStyle w:val="BodyText"/>
        <w:rPr>
          <w:sz w:val="26"/>
        </w:rPr>
      </w:pPr>
    </w:p>
    <w:p>
      <w:pPr>
        <w:pStyle w:val="BodyText"/>
        <w:spacing w:before="2"/>
        <w:rPr>
          <w:sz w:val="35"/>
        </w:rPr>
      </w:pPr>
    </w:p>
    <w:p>
      <w:pPr>
        <w:spacing w:line="362" w:lineRule="auto" w:before="1"/>
        <w:ind w:left="496" w:right="317" w:firstLine="0"/>
        <w:jc w:val="both"/>
        <w:rPr>
          <w:b/>
          <w:sz w:val="16"/>
        </w:rPr>
      </w:pPr>
      <w:r>
        <w:rPr>
          <w:b/>
          <w:sz w:val="16"/>
        </w:rPr>
        <w:t>Figure 16.2 Optical diagram of a confocal laser scanning microscope; the pinhole rejects the light coming from non- confocal planes (A); a hypothetical image generated from the light coming from the focal plane. Compare the image with that shown in figure 16.1.</w:t>
      </w:r>
    </w:p>
    <w:p>
      <w:pPr>
        <w:pStyle w:val="BodyText"/>
        <w:rPr>
          <w:b/>
          <w:sz w:val="17"/>
        </w:rPr>
      </w:pPr>
    </w:p>
    <w:p>
      <w:pPr>
        <w:pStyle w:val="Heading4"/>
      </w:pPr>
      <w:r>
        <w:rPr/>
        <w:t>Confocal Laser Scanning Microscope (CLSM)</w:t>
      </w:r>
    </w:p>
    <w:p>
      <w:pPr>
        <w:pStyle w:val="BodyText"/>
        <w:rPr>
          <w:b/>
          <w:sz w:val="29"/>
        </w:rPr>
      </w:pPr>
    </w:p>
    <w:p>
      <w:pPr>
        <w:pStyle w:val="BodyText"/>
        <w:spacing w:line="360" w:lineRule="auto"/>
        <w:ind w:left="300" w:right="317"/>
        <w:jc w:val="both"/>
      </w:pPr>
      <w:r>
        <w:rPr/>
        <w:t>A schematic diagram of a confocal laser scanning microscope is shown in figure 16.2A. Let us see how exactly a CLSM works:</w:t>
      </w:r>
    </w:p>
    <w:p>
      <w:pPr>
        <w:pStyle w:val="ListParagraph"/>
        <w:numPr>
          <w:ilvl w:val="0"/>
          <w:numId w:val="17"/>
        </w:numPr>
        <w:tabs>
          <w:tab w:pos="1020" w:val="left" w:leader="none"/>
        </w:tabs>
        <w:spacing w:line="360" w:lineRule="auto" w:before="202" w:after="0"/>
        <w:ind w:left="1020" w:right="315" w:hanging="488"/>
        <w:jc w:val="both"/>
        <w:rPr>
          <w:sz w:val="24"/>
        </w:rPr>
      </w:pPr>
      <w:r>
        <w:rPr>
          <w:sz w:val="24"/>
        </w:rPr>
        <w:t>Light source and illumination: Light sources used in confocal microscopes are lasers. The microscope works in epi-illumination mode. The laser beam is spread by a diverging lens so as to fill the back aperture of the objective lens which functions as condenser as well. The expanded laser light is reflected by the dichroic mirror on the objective that focuses the light as an intense diffraction-limited spot on the sample. The fluorescence from the illuminated spot is collected by the objective and sent to the eyepiece/camera/detector through a pinhole</w:t>
      </w:r>
      <w:r>
        <w:rPr>
          <w:spacing w:val="-1"/>
          <w:sz w:val="24"/>
        </w:rPr>
        <w:t> </w:t>
      </w:r>
      <w:r>
        <w:rPr>
          <w:sz w:val="24"/>
        </w:rPr>
        <w:t>aperture.</w:t>
      </w:r>
    </w:p>
    <w:p>
      <w:pPr>
        <w:spacing w:after="0" w:line="360" w:lineRule="auto"/>
        <w:jc w:val="both"/>
        <w:rPr>
          <w:sz w:val="24"/>
        </w:rPr>
        <w:sectPr>
          <w:pgSz w:w="11910" w:h="16840"/>
          <w:pgMar w:header="722" w:footer="748" w:top="1300" w:bottom="940" w:left="1500" w:right="1480"/>
        </w:sectPr>
      </w:pPr>
    </w:p>
    <w:p>
      <w:pPr>
        <w:pStyle w:val="ListParagraph"/>
        <w:numPr>
          <w:ilvl w:val="0"/>
          <w:numId w:val="17"/>
        </w:numPr>
        <w:tabs>
          <w:tab w:pos="1020" w:val="left" w:leader="none"/>
        </w:tabs>
        <w:spacing w:line="360" w:lineRule="auto" w:before="119" w:after="0"/>
        <w:ind w:left="1020" w:right="318" w:hanging="555"/>
        <w:jc w:val="both"/>
        <w:rPr>
          <w:sz w:val="24"/>
        </w:rPr>
      </w:pPr>
      <w:r>
        <w:rPr>
          <w:sz w:val="24"/>
        </w:rPr>
        <w:t>Pinhole aperture: The fluorescence light emitted by the illuminated sample is focused as the confocal point at the pinhole. Any light coming from below or above the focal plane is blocked by the pinhole</w:t>
      </w:r>
      <w:r>
        <w:rPr>
          <w:spacing w:val="-10"/>
          <w:sz w:val="24"/>
        </w:rPr>
        <w:t> </w:t>
      </w:r>
      <w:r>
        <w:rPr>
          <w:sz w:val="24"/>
        </w:rPr>
        <w:t>plate.</w:t>
      </w:r>
    </w:p>
    <w:p>
      <w:pPr>
        <w:pStyle w:val="ListParagraph"/>
        <w:numPr>
          <w:ilvl w:val="0"/>
          <w:numId w:val="17"/>
        </w:numPr>
        <w:tabs>
          <w:tab w:pos="1020" w:val="left" w:leader="none"/>
        </w:tabs>
        <w:spacing w:line="360" w:lineRule="auto" w:before="0" w:after="0"/>
        <w:ind w:left="1019" w:right="315" w:hanging="620"/>
        <w:jc w:val="both"/>
        <w:rPr>
          <w:sz w:val="24"/>
        </w:rPr>
      </w:pPr>
      <w:r>
        <w:rPr>
          <w:sz w:val="24"/>
        </w:rPr>
        <w:t>Raster scanning: As the fluorescence is detected from a diffraction limited spot, the focused laser spot is scanned over the sample in a raster fashion collecting light from the entire focal plane (Figure 16.3A). The laser spot is scanned over the sample by changing the direction of the incident radiation as shown in Figure 16.3B. As the position of the illuminating spot changes, the pinhole moves so as to be confocal with the illuminated spot of the same focal plane.</w:t>
      </w:r>
    </w:p>
    <w:p>
      <w:pPr>
        <w:pStyle w:val="ListParagraph"/>
        <w:numPr>
          <w:ilvl w:val="0"/>
          <w:numId w:val="17"/>
        </w:numPr>
        <w:tabs>
          <w:tab w:pos="1020" w:val="left" w:leader="none"/>
        </w:tabs>
        <w:spacing w:line="360" w:lineRule="auto" w:before="1" w:after="0"/>
        <w:ind w:left="1019" w:right="317" w:hanging="608"/>
        <w:jc w:val="both"/>
        <w:rPr>
          <w:sz w:val="24"/>
        </w:rPr>
      </w:pPr>
      <w:r>
        <w:rPr>
          <w:sz w:val="24"/>
        </w:rPr>
        <w:t>Emission filter: The light that passes through the pinhole is filtered by the emission filter before it reaches the</w:t>
      </w:r>
      <w:r>
        <w:rPr>
          <w:spacing w:val="-4"/>
          <w:sz w:val="24"/>
        </w:rPr>
        <w:t> </w:t>
      </w:r>
      <w:r>
        <w:rPr>
          <w:sz w:val="24"/>
        </w:rPr>
        <w:t>detector.</w:t>
      </w:r>
    </w:p>
    <w:p>
      <w:pPr>
        <w:pStyle w:val="BodyText"/>
        <w:spacing w:before="9"/>
        <w:rPr>
          <w:sz w:val="18"/>
        </w:rPr>
      </w:pPr>
      <w:r>
        <w:rPr/>
        <w:drawing>
          <wp:anchor distT="0" distB="0" distL="0" distR="0" allowOverlap="1" layoutInCell="1" locked="0" behindDoc="0" simplePos="0" relativeHeight="235">
            <wp:simplePos x="0" y="0"/>
            <wp:positionH relativeFrom="page">
              <wp:posOffset>1343297</wp:posOffset>
            </wp:positionH>
            <wp:positionV relativeFrom="paragraph">
              <wp:posOffset>162269</wp:posOffset>
            </wp:positionV>
            <wp:extent cx="5070422" cy="2121408"/>
            <wp:effectExtent l="0" t="0" r="0" b="0"/>
            <wp:wrapTopAndBottom/>
            <wp:docPr id="205" name="image107.jpeg" descr="Figure16.3.TIF"/>
            <wp:cNvGraphicFramePr>
              <a:graphicFrameLocks noChangeAspect="1"/>
            </wp:cNvGraphicFramePr>
            <a:graphic>
              <a:graphicData uri="http://schemas.openxmlformats.org/drawingml/2006/picture">
                <pic:pic>
                  <pic:nvPicPr>
                    <pic:cNvPr id="206" name="image107.jpeg"/>
                    <pic:cNvPicPr/>
                  </pic:nvPicPr>
                  <pic:blipFill>
                    <a:blip r:embed="rId117" cstate="print"/>
                    <a:stretch>
                      <a:fillRect/>
                    </a:stretch>
                  </pic:blipFill>
                  <pic:spPr>
                    <a:xfrm>
                      <a:off x="0" y="0"/>
                      <a:ext cx="5070422" cy="2121408"/>
                    </a:xfrm>
                    <a:prstGeom prst="rect">
                      <a:avLst/>
                    </a:prstGeom>
                  </pic:spPr>
                </pic:pic>
              </a:graphicData>
            </a:graphic>
          </wp:anchor>
        </w:drawing>
      </w:r>
    </w:p>
    <w:p>
      <w:pPr>
        <w:pStyle w:val="BodyText"/>
        <w:spacing w:before="9"/>
        <w:rPr>
          <w:sz w:val="26"/>
        </w:rPr>
      </w:pPr>
    </w:p>
    <w:p>
      <w:pPr>
        <w:spacing w:before="0"/>
        <w:ind w:left="292" w:right="115" w:firstLine="0"/>
        <w:jc w:val="center"/>
        <w:rPr>
          <w:b/>
          <w:sz w:val="16"/>
        </w:rPr>
      </w:pPr>
      <w:r>
        <w:rPr>
          <w:b/>
          <w:sz w:val="16"/>
        </w:rPr>
        <w:t>Figure 16.3 A raster scan (A); raster scanning by changing the direction of the exciting radiation (B).</w:t>
      </w:r>
    </w:p>
    <w:p>
      <w:pPr>
        <w:spacing w:after="0"/>
        <w:jc w:val="center"/>
        <w:rPr>
          <w:sz w:val="16"/>
        </w:rPr>
        <w:sectPr>
          <w:pgSz w:w="11910" w:h="16840"/>
          <w:pgMar w:header="722" w:footer="748" w:top="1300" w:bottom="940" w:left="1500" w:right="1480"/>
        </w:sectPr>
      </w:pPr>
    </w:p>
    <w:p>
      <w:pPr>
        <w:pStyle w:val="Heading4"/>
        <w:spacing w:before="124"/>
        <w:jc w:val="left"/>
      </w:pPr>
      <w:r>
        <w:rPr/>
        <w:t>Optical sectioning and three-dimensional reconstruction</w:t>
      </w:r>
    </w:p>
    <w:p>
      <w:pPr>
        <w:pStyle w:val="BodyText"/>
        <w:rPr>
          <w:b/>
          <w:sz w:val="29"/>
        </w:rPr>
      </w:pPr>
    </w:p>
    <w:p>
      <w:pPr>
        <w:pStyle w:val="BodyText"/>
        <w:spacing w:line="360" w:lineRule="auto"/>
        <w:ind w:left="299" w:right="314"/>
        <w:jc w:val="both"/>
      </w:pPr>
      <w:r>
        <w:rPr/>
        <w:t>A confocal microscope records the intensity of all the diffraction-limited spots in a focal plane, essentially providing an optical section of the sample. This can be understood as a plot of intensity in a two-dimensional coordinate system. Obtaining such plots for closely spaced focal planes allows three-dimensional reconstruction of the sample by stacking the images (Figure 16.4).</w:t>
      </w:r>
    </w:p>
    <w:p>
      <w:pPr>
        <w:pStyle w:val="BodyText"/>
        <w:spacing w:before="5"/>
        <w:rPr>
          <w:sz w:val="16"/>
        </w:rPr>
      </w:pPr>
      <w:r>
        <w:rPr/>
        <w:drawing>
          <wp:anchor distT="0" distB="0" distL="0" distR="0" allowOverlap="1" layoutInCell="1" locked="0" behindDoc="0" simplePos="0" relativeHeight="236">
            <wp:simplePos x="0" y="0"/>
            <wp:positionH relativeFrom="page">
              <wp:posOffset>1306465</wp:posOffset>
            </wp:positionH>
            <wp:positionV relativeFrom="paragraph">
              <wp:posOffset>145260</wp:posOffset>
            </wp:positionV>
            <wp:extent cx="5176356" cy="834008"/>
            <wp:effectExtent l="0" t="0" r="0" b="0"/>
            <wp:wrapTopAndBottom/>
            <wp:docPr id="207" name="image108.jpeg" descr="Figure 16.4.tif"/>
            <wp:cNvGraphicFramePr>
              <a:graphicFrameLocks noChangeAspect="1"/>
            </wp:cNvGraphicFramePr>
            <a:graphic>
              <a:graphicData uri="http://schemas.openxmlformats.org/drawingml/2006/picture">
                <pic:pic>
                  <pic:nvPicPr>
                    <pic:cNvPr id="208" name="image108.jpeg"/>
                    <pic:cNvPicPr/>
                  </pic:nvPicPr>
                  <pic:blipFill>
                    <a:blip r:embed="rId118" cstate="print"/>
                    <a:stretch>
                      <a:fillRect/>
                    </a:stretch>
                  </pic:blipFill>
                  <pic:spPr>
                    <a:xfrm>
                      <a:off x="0" y="0"/>
                      <a:ext cx="5176356" cy="834008"/>
                    </a:xfrm>
                    <a:prstGeom prst="rect">
                      <a:avLst/>
                    </a:prstGeom>
                  </pic:spPr>
                </pic:pic>
              </a:graphicData>
            </a:graphic>
          </wp:anchor>
        </w:drawing>
      </w:r>
    </w:p>
    <w:p>
      <w:pPr>
        <w:pStyle w:val="BodyText"/>
        <w:spacing w:before="7"/>
        <w:rPr>
          <w:sz w:val="37"/>
        </w:rPr>
      </w:pPr>
    </w:p>
    <w:p>
      <w:pPr>
        <w:spacing w:line="362" w:lineRule="auto" w:before="0"/>
        <w:ind w:left="496" w:right="311" w:firstLine="0"/>
        <w:jc w:val="left"/>
        <w:rPr>
          <w:b/>
          <w:sz w:val="16"/>
        </w:rPr>
      </w:pPr>
      <w:r>
        <w:rPr>
          <w:b/>
          <w:sz w:val="16"/>
        </w:rPr>
        <w:t>Figure 16.4 A diagram showing images recorded from five different focal planes and three-dimensional reconstruction of the object by stacking a large number of images from different focal planes.</w:t>
      </w:r>
    </w:p>
    <w:p>
      <w:pPr>
        <w:pStyle w:val="BodyText"/>
        <w:rPr>
          <w:b/>
          <w:sz w:val="18"/>
        </w:rPr>
      </w:pPr>
    </w:p>
    <w:p>
      <w:pPr>
        <w:pStyle w:val="BodyText"/>
        <w:rPr>
          <w:b/>
          <w:sz w:val="18"/>
        </w:rPr>
      </w:pPr>
    </w:p>
    <w:p>
      <w:pPr>
        <w:pStyle w:val="BodyText"/>
        <w:rPr>
          <w:b/>
          <w:sz w:val="18"/>
        </w:rPr>
      </w:pPr>
    </w:p>
    <w:p>
      <w:pPr>
        <w:pStyle w:val="BodyText"/>
        <w:spacing w:before="7"/>
        <w:rPr>
          <w:b/>
          <w:sz w:val="16"/>
        </w:rPr>
      </w:pPr>
    </w:p>
    <w:p>
      <w:pPr>
        <w:pStyle w:val="Heading4"/>
        <w:jc w:val="left"/>
      </w:pPr>
      <w:r>
        <w:rPr/>
        <w:t>Two photon and multiphoton laser scanning microscopy</w:t>
      </w:r>
    </w:p>
    <w:p>
      <w:pPr>
        <w:pStyle w:val="BodyText"/>
        <w:spacing w:before="10"/>
        <w:rPr>
          <w:b/>
          <w:sz w:val="34"/>
        </w:rPr>
      </w:pPr>
    </w:p>
    <w:p>
      <w:pPr>
        <w:pStyle w:val="BodyText"/>
        <w:spacing w:line="243" w:lineRule="exact"/>
        <w:ind w:left="300"/>
        <w:jc w:val="both"/>
      </w:pPr>
      <w:r>
        <w:rPr/>
        <w:pict>
          <v:rect style="position:absolute;margin-left:331.920013pt;margin-top:7.363119pt;width:9.84pt;height:.84pt;mso-position-horizontal-relative:page;mso-position-vertical-relative:paragraph;z-index:-18417152" filled="true" fillcolor="#000000" stroked="false">
            <v:fill type="solid"/>
            <w10:wrap type="none"/>
          </v:rect>
        </w:pict>
      </w:r>
      <w:r>
        <w:rPr/>
        <w:t>If a fluorophore absorbs the light of energy, </w:t>
      </w:r>
      <w:r>
        <w:rPr>
          <w:rFonts w:ascii="Symbola" w:hAnsi="Symbola" w:eastAsia="Symbola"/>
        </w:rPr>
        <w:t>𝐸 = </w:t>
      </w:r>
      <w:r>
        <w:rPr>
          <w:rFonts w:ascii="Symbola" w:hAnsi="Symbola" w:eastAsia="Symbola"/>
          <w:vertAlign w:val="superscript"/>
        </w:rPr>
        <w:t>ℎ𝑐</w:t>
      </w:r>
      <w:r>
        <w:rPr>
          <w:vertAlign w:val="baseline"/>
        </w:rPr>
        <w:t>, where </w:t>
      </w:r>
      <w:r>
        <w:rPr>
          <w:i/>
          <w:vertAlign w:val="baseline"/>
        </w:rPr>
        <w:t>λ </w:t>
      </w:r>
      <w:r>
        <w:rPr>
          <w:vertAlign w:val="baseline"/>
        </w:rPr>
        <w:t>is the wavelength of the</w:t>
      </w:r>
    </w:p>
    <w:p>
      <w:pPr>
        <w:spacing w:line="137" w:lineRule="exact" w:before="0"/>
        <w:ind w:left="2162" w:right="617" w:firstLine="0"/>
        <w:jc w:val="center"/>
        <w:rPr>
          <w:rFonts w:ascii="Symbola" w:eastAsia="Symbola"/>
          <w:sz w:val="17"/>
        </w:rPr>
      </w:pPr>
      <w:r>
        <w:rPr>
          <w:rFonts w:ascii="Symbola" w:eastAsia="Symbola"/>
          <w:w w:val="105"/>
          <w:sz w:val="17"/>
        </w:rPr>
        <w:t>𝜆</w:t>
      </w:r>
    </w:p>
    <w:p>
      <w:pPr>
        <w:pStyle w:val="BodyText"/>
        <w:spacing w:before="104"/>
        <w:ind w:left="300"/>
      </w:pPr>
      <w:r>
        <w:rPr/>
        <w:t>absorbed radiation; it is possible to excite the fluorophore with the light of wavelength</w:t>
      </w:r>
    </w:p>
    <w:p>
      <w:pPr>
        <w:pStyle w:val="BodyText"/>
        <w:spacing w:before="137"/>
        <w:ind w:left="300"/>
      </w:pPr>
      <w:r>
        <w:rPr>
          <w:i/>
        </w:rPr>
        <w:t>2λ </w:t>
      </w:r>
      <w:r>
        <w:rPr/>
        <w:t>if two photons are simultaneously absorbed by the molecule (Figure 16.5).</w:t>
      </w:r>
    </w:p>
    <w:p>
      <w:pPr>
        <w:pStyle w:val="BodyText"/>
        <w:spacing w:before="10"/>
        <w:rPr>
          <w:sz w:val="27"/>
        </w:rPr>
      </w:pPr>
      <w:r>
        <w:rPr/>
        <w:drawing>
          <wp:anchor distT="0" distB="0" distL="0" distR="0" allowOverlap="1" layoutInCell="1" locked="0" behindDoc="0" simplePos="0" relativeHeight="237">
            <wp:simplePos x="0" y="0"/>
            <wp:positionH relativeFrom="page">
              <wp:posOffset>1302329</wp:posOffset>
            </wp:positionH>
            <wp:positionV relativeFrom="paragraph">
              <wp:posOffset>228693</wp:posOffset>
            </wp:positionV>
            <wp:extent cx="5016470" cy="2200275"/>
            <wp:effectExtent l="0" t="0" r="0" b="0"/>
            <wp:wrapTopAndBottom/>
            <wp:docPr id="209" name="image109.jpeg" descr="Figure 16.5.tif"/>
            <wp:cNvGraphicFramePr>
              <a:graphicFrameLocks noChangeAspect="1"/>
            </wp:cNvGraphicFramePr>
            <a:graphic>
              <a:graphicData uri="http://schemas.openxmlformats.org/drawingml/2006/picture">
                <pic:pic>
                  <pic:nvPicPr>
                    <pic:cNvPr id="210" name="image109.jpeg"/>
                    <pic:cNvPicPr/>
                  </pic:nvPicPr>
                  <pic:blipFill>
                    <a:blip r:embed="rId119" cstate="print"/>
                    <a:stretch>
                      <a:fillRect/>
                    </a:stretch>
                  </pic:blipFill>
                  <pic:spPr>
                    <a:xfrm>
                      <a:off x="0" y="0"/>
                      <a:ext cx="5016470" cy="2200275"/>
                    </a:xfrm>
                    <a:prstGeom prst="rect">
                      <a:avLst/>
                    </a:prstGeom>
                  </pic:spPr>
                </pic:pic>
              </a:graphicData>
            </a:graphic>
          </wp:anchor>
        </w:drawing>
      </w:r>
    </w:p>
    <w:p>
      <w:pPr>
        <w:pStyle w:val="BodyText"/>
        <w:spacing w:before="4"/>
        <w:rPr>
          <w:sz w:val="27"/>
        </w:rPr>
      </w:pPr>
    </w:p>
    <w:p>
      <w:pPr>
        <w:spacing w:before="0"/>
        <w:ind w:left="799" w:right="0" w:firstLine="0"/>
        <w:jc w:val="left"/>
        <w:rPr>
          <w:b/>
          <w:sz w:val="16"/>
        </w:rPr>
      </w:pPr>
      <w:r>
        <w:rPr>
          <w:b/>
          <w:sz w:val="16"/>
        </w:rPr>
        <w:t>Figure 16.5 A simplified Jablonski diagram showing single-photon and two-photon excitation of a fluorophore</w:t>
      </w:r>
    </w:p>
    <w:p>
      <w:pPr>
        <w:spacing w:after="0"/>
        <w:jc w:val="left"/>
        <w:rPr>
          <w:sz w:val="16"/>
        </w:rPr>
        <w:sectPr>
          <w:pgSz w:w="11910" w:h="16840"/>
          <w:pgMar w:header="722" w:footer="748" w:top="1300" w:bottom="940" w:left="1500" w:right="1480"/>
        </w:sectPr>
      </w:pPr>
    </w:p>
    <w:p>
      <w:pPr>
        <w:pStyle w:val="BodyText"/>
        <w:spacing w:line="360" w:lineRule="auto" w:before="119"/>
        <w:ind w:left="300" w:right="316"/>
        <w:jc w:val="both"/>
      </w:pPr>
      <w:r>
        <w:rPr/>
        <w:t>The probability of simultaneous absorption of two photons is very small; multiphoton microscopes therefore need very intense light sources. Pulsed infrared lasers, however, have realized the multiphoton microscopy. Titanium:sapphire lasers operating at 800 nm can cause excitation of the fluorophores with </w:t>
      </w:r>
      <w:r>
        <w:rPr>
          <w:i/>
        </w:rPr>
        <w:t>λ</w:t>
      </w:r>
      <w:r>
        <w:rPr>
          <w:i/>
          <w:vertAlign w:val="subscript"/>
        </w:rPr>
        <w:t>max</w:t>
      </w:r>
      <w:r>
        <w:rPr>
          <w:i/>
          <w:vertAlign w:val="baseline"/>
        </w:rPr>
        <w:t> </w:t>
      </w:r>
      <w:r>
        <w:rPr>
          <w:vertAlign w:val="baseline"/>
        </w:rPr>
        <w:t>~ 400 nm through two photon absorption. Multiphoton fluorescence microscopy offers following advantages over single photon</w:t>
      </w:r>
      <w:r>
        <w:rPr>
          <w:spacing w:val="-6"/>
          <w:vertAlign w:val="baseline"/>
        </w:rPr>
        <w:t> </w:t>
      </w:r>
      <w:r>
        <w:rPr>
          <w:vertAlign w:val="baseline"/>
        </w:rPr>
        <w:t>microscopy:</w:t>
      </w:r>
    </w:p>
    <w:p>
      <w:pPr>
        <w:pStyle w:val="ListParagraph"/>
        <w:numPr>
          <w:ilvl w:val="0"/>
          <w:numId w:val="18"/>
        </w:numPr>
        <w:tabs>
          <w:tab w:pos="1020" w:val="left" w:leader="none"/>
        </w:tabs>
        <w:spacing w:line="360" w:lineRule="auto" w:before="200" w:after="0"/>
        <w:ind w:left="1019" w:right="316" w:hanging="488"/>
        <w:jc w:val="both"/>
        <w:rPr>
          <w:sz w:val="24"/>
        </w:rPr>
      </w:pPr>
      <w:r>
        <w:rPr>
          <w:sz w:val="24"/>
        </w:rPr>
        <w:t>Biological specimens absorb the near-IR radiation very poorly as compared to the UV and blue green radiation, the electromagenetic region commonly used for fluorescence microscopy; this implies that a thicker specimen can be studied using multiphoton</w:t>
      </w:r>
      <w:r>
        <w:rPr>
          <w:spacing w:val="-4"/>
          <w:sz w:val="24"/>
        </w:rPr>
        <w:t> </w:t>
      </w:r>
      <w:r>
        <w:rPr>
          <w:sz w:val="24"/>
        </w:rPr>
        <w:t>microscopy.</w:t>
      </w:r>
    </w:p>
    <w:p>
      <w:pPr>
        <w:pStyle w:val="ListParagraph"/>
        <w:numPr>
          <w:ilvl w:val="0"/>
          <w:numId w:val="18"/>
        </w:numPr>
        <w:tabs>
          <w:tab w:pos="1020" w:val="left" w:leader="none"/>
        </w:tabs>
        <w:spacing w:line="360" w:lineRule="auto" w:before="0" w:after="0"/>
        <w:ind w:left="1019" w:right="315" w:hanging="555"/>
        <w:jc w:val="both"/>
        <w:rPr>
          <w:sz w:val="24"/>
        </w:rPr>
      </w:pPr>
      <w:r>
        <w:rPr>
          <w:sz w:val="24"/>
        </w:rPr>
        <w:t>As the fluorophores are excited at </w:t>
      </w:r>
      <w:r>
        <w:rPr>
          <w:i/>
          <w:sz w:val="24"/>
        </w:rPr>
        <w:t>~2λ </w:t>
      </w:r>
      <w:r>
        <w:rPr>
          <w:sz w:val="24"/>
        </w:rPr>
        <w:t>in a two photon fluorescence imaging experiment, the incident and the emitted radiations are well separated; this separation allows detection of the emitted radiation clear of the excitation radiation and the Raman scattering.</w:t>
      </w:r>
    </w:p>
    <w:p>
      <w:pPr>
        <w:pStyle w:val="ListParagraph"/>
        <w:numPr>
          <w:ilvl w:val="0"/>
          <w:numId w:val="18"/>
        </w:numPr>
        <w:tabs>
          <w:tab w:pos="1020" w:val="left" w:leader="none"/>
        </w:tabs>
        <w:spacing w:line="360" w:lineRule="auto" w:before="0" w:after="0"/>
        <w:ind w:left="1019" w:right="316" w:hanging="620"/>
        <w:jc w:val="both"/>
        <w:rPr>
          <w:sz w:val="24"/>
        </w:rPr>
      </w:pPr>
      <w:r>
        <w:rPr>
          <w:sz w:val="24"/>
        </w:rPr>
        <w:t>The probability of simultaneous absorption of two photons depends on the square of the light intensity. The laser light in a two-photon set up does not excite the fluorophores along its path due to insufficient photon density to cause two-photon absorption. A photon density high enough to cause excitation is achieved only at the focus, thereby exciting the molecules only in the focal plane (Figure 16.6). A multiphoton microscope therefore does not require a pinhole for recording confocal</w:t>
      </w:r>
      <w:r>
        <w:rPr>
          <w:spacing w:val="-6"/>
          <w:sz w:val="24"/>
        </w:rPr>
        <w:t> </w:t>
      </w:r>
      <w:r>
        <w:rPr>
          <w:sz w:val="24"/>
        </w:rPr>
        <w:t>images.</w:t>
      </w:r>
    </w:p>
    <w:p>
      <w:pPr>
        <w:pStyle w:val="BodyText"/>
        <w:spacing w:before="9"/>
        <w:rPr>
          <w:sz w:val="14"/>
        </w:rPr>
      </w:pPr>
      <w:r>
        <w:rPr/>
        <w:drawing>
          <wp:anchor distT="0" distB="0" distL="0" distR="0" allowOverlap="1" layoutInCell="1" locked="0" behindDoc="0" simplePos="0" relativeHeight="239">
            <wp:simplePos x="0" y="0"/>
            <wp:positionH relativeFrom="page">
              <wp:posOffset>1585772</wp:posOffset>
            </wp:positionH>
            <wp:positionV relativeFrom="paragraph">
              <wp:posOffset>133076</wp:posOffset>
            </wp:positionV>
            <wp:extent cx="4573030" cy="2367915"/>
            <wp:effectExtent l="0" t="0" r="0" b="0"/>
            <wp:wrapTopAndBottom/>
            <wp:docPr id="211" name="image110.jpeg" descr="Figure 16.6.tif"/>
            <wp:cNvGraphicFramePr>
              <a:graphicFrameLocks noChangeAspect="1"/>
            </wp:cNvGraphicFramePr>
            <a:graphic>
              <a:graphicData uri="http://schemas.openxmlformats.org/drawingml/2006/picture">
                <pic:pic>
                  <pic:nvPicPr>
                    <pic:cNvPr id="212" name="image110.jpeg"/>
                    <pic:cNvPicPr/>
                  </pic:nvPicPr>
                  <pic:blipFill>
                    <a:blip r:embed="rId120" cstate="print"/>
                    <a:stretch>
                      <a:fillRect/>
                    </a:stretch>
                  </pic:blipFill>
                  <pic:spPr>
                    <a:xfrm>
                      <a:off x="0" y="0"/>
                      <a:ext cx="4573030" cy="2367915"/>
                    </a:xfrm>
                    <a:prstGeom prst="rect">
                      <a:avLst/>
                    </a:prstGeom>
                  </pic:spPr>
                </pic:pic>
              </a:graphicData>
            </a:graphic>
          </wp:anchor>
        </w:drawing>
      </w:r>
    </w:p>
    <w:p>
      <w:pPr>
        <w:pStyle w:val="BodyText"/>
        <w:spacing w:before="8"/>
        <w:rPr>
          <w:sz w:val="23"/>
        </w:rPr>
      </w:pPr>
    </w:p>
    <w:p>
      <w:pPr>
        <w:spacing w:line="362" w:lineRule="auto" w:before="0"/>
        <w:ind w:left="496" w:right="443" w:firstLine="0"/>
        <w:jc w:val="left"/>
        <w:rPr>
          <w:b/>
          <w:sz w:val="16"/>
        </w:rPr>
      </w:pPr>
      <w:r>
        <w:rPr>
          <w:b/>
          <w:sz w:val="16"/>
        </w:rPr>
        <w:t>Figure 16.6 A comparison of the excitation region in a confocal laser scanning microscope and a two photon laser scanning microscope.</w:t>
      </w:r>
    </w:p>
    <w:p>
      <w:pPr>
        <w:spacing w:after="0" w:line="362" w:lineRule="auto"/>
        <w:jc w:val="left"/>
        <w:rPr>
          <w:sz w:val="16"/>
        </w:rPr>
        <w:sectPr>
          <w:pgSz w:w="11910" w:h="16840"/>
          <w:pgMar w:header="722" w:footer="748" w:top="1300" w:bottom="940" w:left="1500" w:right="1480"/>
        </w:sectPr>
      </w:pPr>
    </w:p>
    <w:p>
      <w:pPr>
        <w:pStyle w:val="Heading2"/>
      </w:pPr>
      <w:r>
        <w:rPr/>
        <w:t>Lecture 17 Electron Microscopy-I</w:t>
      </w:r>
    </w:p>
    <w:p>
      <w:pPr>
        <w:pStyle w:val="BodyText"/>
        <w:spacing w:before="10"/>
        <w:rPr>
          <w:b/>
          <w:sz w:val="32"/>
        </w:rPr>
      </w:pPr>
    </w:p>
    <w:p>
      <w:pPr>
        <w:pStyle w:val="BodyText"/>
        <w:spacing w:line="360" w:lineRule="auto" w:before="1"/>
        <w:ind w:left="299" w:right="314"/>
        <w:jc w:val="both"/>
      </w:pPr>
      <w:r>
        <w:rPr/>
        <w:t>We have so far studied the light microscopy </w:t>
      </w:r>
      <w:r>
        <w:rPr>
          <w:i/>
        </w:rPr>
        <w:t>i.e. </w:t>
      </w:r>
      <w:r>
        <w:rPr/>
        <w:t>the microscopic methods that utilize the electromagnetic radiation; typically UV, visible, and infrared; for studying the biological specimens. Electron microscopes, on the other hand, use electrons for the same purpose. We have seen that a confocal laser scanning microscope allows point- by-point scanning of the sample providing three-dimensional information about the optical features of a specimen. Why do we then need electron microscopes when modern light microscopes have become so powerful! We need them because of their very high resolution. Let us recall the expression given in equation 14.1 for the theoretical resolution of a microscope:</w:t>
      </w:r>
    </w:p>
    <w:p>
      <w:pPr>
        <w:spacing w:after="0" w:line="360" w:lineRule="auto"/>
        <w:jc w:val="both"/>
        <w:sectPr>
          <w:pgSz w:w="11910" w:h="16840"/>
          <w:pgMar w:header="722" w:footer="748" w:top="1300" w:bottom="940" w:left="1500" w:right="1480"/>
        </w:sectPr>
      </w:pPr>
    </w:p>
    <w:p>
      <w:pPr>
        <w:tabs>
          <w:tab w:pos="847" w:val="left" w:leader="none"/>
        </w:tabs>
        <w:spacing w:line="168" w:lineRule="auto" w:before="240"/>
        <w:ind w:left="300" w:right="0" w:firstLine="0"/>
        <w:jc w:val="left"/>
        <w:rPr>
          <w:rFonts w:ascii="Symbola" w:eastAsia="Symbola"/>
          <w:sz w:val="17"/>
        </w:rPr>
      </w:pPr>
      <w:r>
        <w:rPr/>
        <w:pict>
          <v:rect style="position:absolute;margin-left:132.360001pt;margin-top:21.205568pt;width:26.04pt;height:.841pt;mso-position-horizontal-relative:page;mso-position-vertical-relative:paragraph;z-index:-18416128" filled="true" fillcolor="#000000" stroked="false">
            <v:fill type="solid"/>
            <w10:wrap type="none"/>
          </v:rect>
        </w:pict>
      </w:r>
      <w:r>
        <w:rPr/>
        <w:pict>
          <v:shape style="position:absolute;margin-left:96.959999pt;margin-top:19.350903pt;width:16.5pt;height:10pt;mso-position-horizontal-relative:page;mso-position-vertical-relative:paragraph;z-index:-18414592" type="#_x0000_t202" filled="false" stroked="false">
            <v:textbox inset="0,0,0,0">
              <w:txbxContent>
                <w:p>
                  <w:pPr>
                    <w:spacing w:before="28"/>
                    <w:ind w:left="0" w:right="0" w:firstLine="0"/>
                    <w:jc w:val="left"/>
                    <w:rPr>
                      <w:rFonts w:ascii="Symbola" w:eastAsia="Symbola"/>
                      <w:sz w:val="17"/>
                    </w:rPr>
                  </w:pPr>
                  <w:r>
                    <w:rPr>
                      <w:rFonts w:ascii="Symbola" w:eastAsia="Symbola"/>
                      <w:spacing w:val="-1"/>
                      <w:w w:val="115"/>
                      <w:sz w:val="17"/>
                    </w:rPr>
                    <w:t>𝑚𝑖𝑛</w:t>
                  </w:r>
                </w:p>
              </w:txbxContent>
            </v:textbox>
            <w10:wrap type="none"/>
          </v:shape>
        </w:pict>
      </w:r>
      <w:r>
        <w:rPr>
          <w:rFonts w:ascii="Symbola" w:eastAsia="Symbola"/>
          <w:w w:val="105"/>
          <w:position w:val="-13"/>
          <w:sz w:val="24"/>
        </w:rPr>
        <w:t>𝑑</w:t>
        <w:tab/>
        <w:t>=  </w:t>
      </w:r>
      <w:r>
        <w:rPr>
          <w:rFonts w:ascii="Symbola" w:eastAsia="Symbola"/>
          <w:w w:val="105"/>
          <w:sz w:val="17"/>
        </w:rPr>
        <w:t>0.61</w:t>
      </w:r>
      <w:r>
        <w:rPr>
          <w:rFonts w:ascii="Symbola" w:eastAsia="Symbola"/>
          <w:spacing w:val="10"/>
          <w:w w:val="105"/>
          <w:sz w:val="17"/>
        </w:rPr>
        <w:t> </w:t>
      </w:r>
      <w:r>
        <w:rPr>
          <w:rFonts w:ascii="Symbola" w:eastAsia="Symbola"/>
          <w:w w:val="105"/>
          <w:sz w:val="17"/>
        </w:rPr>
        <w:t>𝜆</w:t>
      </w:r>
    </w:p>
    <w:p>
      <w:pPr>
        <w:spacing w:line="162" w:lineRule="exact" w:before="0"/>
        <w:ind w:left="0" w:right="38" w:firstLine="0"/>
        <w:jc w:val="right"/>
        <w:rPr>
          <w:rFonts w:ascii="Symbola" w:eastAsia="Symbola"/>
          <w:sz w:val="17"/>
        </w:rPr>
      </w:pPr>
      <w:r>
        <w:rPr>
          <w:rFonts w:ascii="Symbola" w:eastAsia="Symbola"/>
          <w:sz w:val="17"/>
        </w:rPr>
        <w:t>𝑛</w:t>
      </w:r>
      <w:r>
        <w:rPr>
          <w:rFonts w:ascii="Symbola" w:eastAsia="Symbola"/>
          <w:spacing w:val="-7"/>
          <w:sz w:val="17"/>
        </w:rPr>
        <w:t> </w:t>
      </w:r>
      <w:r>
        <w:rPr>
          <w:rFonts w:ascii="Symbola" w:eastAsia="Symbola"/>
          <w:sz w:val="17"/>
        </w:rPr>
        <w:t>𝑠𝑖𝑛𝛼</w:t>
      </w:r>
    </w:p>
    <w:p>
      <w:pPr>
        <w:pStyle w:val="BodyText"/>
        <w:spacing w:before="7"/>
        <w:rPr>
          <w:rFonts w:ascii="Symbola"/>
          <w:sz w:val="27"/>
        </w:rPr>
      </w:pPr>
      <w:r>
        <w:rPr/>
        <w:br w:type="column"/>
      </w:r>
      <w:r>
        <w:rPr>
          <w:rFonts w:ascii="Symbola"/>
          <w:sz w:val="27"/>
        </w:rPr>
      </w:r>
    </w:p>
    <w:p>
      <w:pPr>
        <w:pStyle w:val="BodyText"/>
        <w:ind w:left="300"/>
      </w:pPr>
      <w:r>
        <w:rPr/>
        <w:t>····························································· (14.1)</w:t>
      </w:r>
    </w:p>
    <w:p>
      <w:pPr>
        <w:spacing w:after="0"/>
        <w:sectPr>
          <w:type w:val="continuous"/>
          <w:pgSz w:w="11910" w:h="16840"/>
          <w:pgMar w:top="1300" w:bottom="940" w:left="1500" w:right="1480"/>
          <w:cols w:num="2" w:equalWidth="0">
            <w:col w:w="1704" w:space="466"/>
            <w:col w:w="6760"/>
          </w:cols>
        </w:sectPr>
      </w:pPr>
    </w:p>
    <w:p>
      <w:pPr>
        <w:pStyle w:val="BodyText"/>
        <w:spacing w:before="7"/>
        <w:rPr>
          <w:sz w:val="18"/>
        </w:rPr>
      </w:pPr>
    </w:p>
    <w:p>
      <w:pPr>
        <w:pStyle w:val="BodyText"/>
        <w:spacing w:before="90"/>
        <w:ind w:left="300"/>
      </w:pPr>
      <w:r>
        <w:rPr/>
        <w:t>We</w:t>
      </w:r>
      <w:r>
        <w:rPr>
          <w:spacing w:val="21"/>
        </w:rPr>
        <w:t> </w:t>
      </w:r>
      <w:r>
        <w:rPr/>
        <w:t>have</w:t>
      </w:r>
      <w:r>
        <w:rPr>
          <w:spacing w:val="21"/>
        </w:rPr>
        <w:t> </w:t>
      </w:r>
      <w:r>
        <w:rPr/>
        <w:t>seen</w:t>
      </w:r>
      <w:r>
        <w:rPr>
          <w:spacing w:val="22"/>
        </w:rPr>
        <w:t> </w:t>
      </w:r>
      <w:r>
        <w:rPr/>
        <w:t>in</w:t>
      </w:r>
      <w:r>
        <w:rPr>
          <w:spacing w:val="23"/>
        </w:rPr>
        <w:t> </w:t>
      </w:r>
      <w:r>
        <w:rPr/>
        <w:t>lecture</w:t>
      </w:r>
      <w:r>
        <w:rPr>
          <w:spacing w:val="23"/>
        </w:rPr>
        <w:t> </w:t>
      </w:r>
      <w:r>
        <w:rPr/>
        <w:t>14</w:t>
      </w:r>
      <w:r>
        <w:rPr>
          <w:spacing w:val="22"/>
        </w:rPr>
        <w:t> </w:t>
      </w:r>
      <w:r>
        <w:rPr/>
        <w:t>that</w:t>
      </w:r>
      <w:r>
        <w:rPr>
          <w:spacing w:val="22"/>
        </w:rPr>
        <w:t> </w:t>
      </w:r>
      <w:r>
        <w:rPr/>
        <w:t>light</w:t>
      </w:r>
      <w:r>
        <w:rPr>
          <w:spacing w:val="23"/>
        </w:rPr>
        <w:t> </w:t>
      </w:r>
      <w:r>
        <w:rPr/>
        <w:t>microscopy</w:t>
      </w:r>
      <w:r>
        <w:rPr>
          <w:spacing w:val="19"/>
        </w:rPr>
        <w:t> </w:t>
      </w:r>
      <w:r>
        <w:rPr/>
        <w:t>fails</w:t>
      </w:r>
      <w:r>
        <w:rPr>
          <w:spacing w:val="22"/>
        </w:rPr>
        <w:t> </w:t>
      </w:r>
      <w:r>
        <w:rPr/>
        <w:t>to</w:t>
      </w:r>
      <w:r>
        <w:rPr>
          <w:spacing w:val="23"/>
        </w:rPr>
        <w:t> </w:t>
      </w:r>
      <w:r>
        <w:rPr/>
        <w:t>give</w:t>
      </w:r>
      <w:r>
        <w:rPr>
          <w:spacing w:val="21"/>
        </w:rPr>
        <w:t> </w:t>
      </w:r>
      <w:r>
        <w:rPr/>
        <w:t>resolution</w:t>
      </w:r>
      <w:r>
        <w:rPr>
          <w:spacing w:val="24"/>
        </w:rPr>
        <w:t> </w:t>
      </w:r>
      <w:r>
        <w:rPr/>
        <w:t>better</w:t>
      </w:r>
      <w:r>
        <w:rPr>
          <w:spacing w:val="21"/>
        </w:rPr>
        <w:t> </w:t>
      </w:r>
      <w:r>
        <w:rPr/>
        <w:t>than</w:t>
      </w:r>
    </w:p>
    <w:p>
      <w:pPr>
        <w:pStyle w:val="BodyText"/>
        <w:spacing w:before="136"/>
        <w:ind w:left="300"/>
      </w:pPr>
      <w:r>
        <w:rPr/>
        <w:t>~0.2 μm. Owing to their much smaller wavelengths, electron microscopes can</w:t>
      </w:r>
      <w:r>
        <w:rPr>
          <w:spacing w:val="2"/>
        </w:rPr>
        <w:t> </w:t>
      </w:r>
      <w:r>
        <w:rPr/>
        <w:t>provide</w:t>
      </w:r>
    </w:p>
    <w:p>
      <w:pPr>
        <w:pStyle w:val="BodyText"/>
        <w:spacing w:before="140"/>
        <w:ind w:left="300"/>
      </w:pPr>
      <w:r>
        <w:rPr/>
        <w:t>~2-3 orders of magnitude higher resolution than the light microscopes.</w:t>
      </w:r>
    </w:p>
    <w:p>
      <w:pPr>
        <w:pStyle w:val="BodyText"/>
        <w:spacing w:before="9"/>
        <w:rPr>
          <w:sz w:val="29"/>
        </w:rPr>
      </w:pPr>
    </w:p>
    <w:p>
      <w:pPr>
        <w:pStyle w:val="Heading4"/>
        <w:ind w:left="299"/>
        <w:jc w:val="left"/>
      </w:pPr>
      <w:r>
        <w:rPr/>
        <w:t>Electrons in microscopy</w:t>
      </w:r>
    </w:p>
    <w:p>
      <w:pPr>
        <w:pStyle w:val="BodyText"/>
        <w:spacing w:before="9"/>
        <w:rPr>
          <w:b/>
          <w:sz w:val="28"/>
        </w:rPr>
      </w:pPr>
    </w:p>
    <w:p>
      <w:pPr>
        <w:pStyle w:val="BodyText"/>
        <w:spacing w:line="360" w:lineRule="auto" w:before="1"/>
        <w:ind w:left="299" w:right="317"/>
        <w:jc w:val="both"/>
      </w:pPr>
      <w:r>
        <w:rPr/>
        <w:t>Louis de Broglie in 1924 theorized that particles have wave-like characteristics. Three years later, electron diffraction experiments carried out independently by ‘Davisson and Germer’ and ‘Thomson and Reid’ demonstrated the wave behavior of the electrons. Within next five years, the idea to use electrons for microscopy was realized when Knoll and Ruska published the images recorded using electrons. The wavelength of a particle with velocity, </w:t>
      </w:r>
      <w:r>
        <w:rPr>
          <w:i/>
        </w:rPr>
        <w:t>v </w:t>
      </w:r>
      <w:r>
        <w:rPr/>
        <w:t>and momentum, </w:t>
      </w:r>
      <w:r>
        <w:rPr>
          <w:i/>
        </w:rPr>
        <w:t>p </w:t>
      </w:r>
      <w:r>
        <w:rPr/>
        <w:t>is given by de Broglie equation:</w:t>
      </w:r>
    </w:p>
    <w:p>
      <w:pPr>
        <w:spacing w:after="0" w:line="360" w:lineRule="auto"/>
        <w:jc w:val="both"/>
        <w:sectPr>
          <w:type w:val="continuous"/>
          <w:pgSz w:w="11910" w:h="16840"/>
          <w:pgMar w:top="1300" w:bottom="940" w:left="1500" w:right="1480"/>
        </w:sectPr>
      </w:pPr>
    </w:p>
    <w:p>
      <w:pPr>
        <w:pStyle w:val="BodyText"/>
        <w:spacing w:line="207" w:lineRule="exact" w:before="306"/>
        <w:ind w:left="1020"/>
        <w:rPr>
          <w:rFonts w:ascii="Symbola" w:hAnsi="Symbola" w:eastAsia="Symbola"/>
        </w:rPr>
      </w:pPr>
      <w:r>
        <w:rPr/>
        <w:pict>
          <v:rect style="position:absolute;margin-left:150.720001pt;margin-top:20.870163pt;width:5.52pt;height:.84pt;mso-position-horizontal-relative:page;mso-position-vertical-relative:paragraph;z-index:-18415616" filled="true" fillcolor="#000000" stroked="false">
            <v:fill type="solid"/>
            <w10:wrap type="none"/>
          </v:rect>
        </w:pict>
      </w:r>
      <w:r>
        <w:rPr>
          <w:rFonts w:ascii="Symbola" w:hAnsi="Symbola" w:eastAsia="Symbola"/>
        </w:rPr>
        <w:t>𝜆 =</w:t>
      </w:r>
      <w:r>
        <w:rPr>
          <w:rFonts w:ascii="Symbola" w:hAnsi="Symbola" w:eastAsia="Symbola"/>
          <w:spacing w:val="50"/>
        </w:rPr>
        <w:t> </w:t>
      </w:r>
      <w:r>
        <w:rPr>
          <w:rFonts w:ascii="Symbola" w:hAnsi="Symbola" w:eastAsia="Symbola"/>
          <w:vertAlign w:val="superscript"/>
        </w:rPr>
        <w:t>ℎ</w:t>
      </w:r>
    </w:p>
    <w:p>
      <w:pPr>
        <w:spacing w:line="137" w:lineRule="exact" w:before="0"/>
        <w:ind w:left="0" w:right="0" w:firstLine="0"/>
        <w:jc w:val="right"/>
        <w:rPr>
          <w:rFonts w:ascii="Symbola" w:eastAsia="Symbola"/>
          <w:sz w:val="17"/>
        </w:rPr>
      </w:pPr>
      <w:r>
        <w:rPr>
          <w:rFonts w:ascii="Symbola" w:eastAsia="Symbola"/>
          <w:spacing w:val="-1"/>
          <w:w w:val="110"/>
          <w:sz w:val="17"/>
        </w:rPr>
        <w:t>𝑝</w:t>
      </w:r>
    </w:p>
    <w:p>
      <w:pPr>
        <w:spacing w:line="141" w:lineRule="auto" w:before="253"/>
        <w:ind w:left="78" w:right="0" w:firstLine="0"/>
        <w:jc w:val="left"/>
        <w:rPr>
          <w:rFonts w:ascii="Symbola" w:hAnsi="Symbola"/>
          <w:sz w:val="17"/>
        </w:rPr>
      </w:pPr>
      <w:r>
        <w:rPr/>
        <w:br w:type="column"/>
      </w:r>
      <w:r>
        <w:rPr>
          <w:w w:val="105"/>
          <w:position w:val="-13"/>
          <w:sz w:val="24"/>
        </w:rPr>
        <w:t>=  </w:t>
      </w:r>
      <w:r>
        <w:rPr>
          <w:spacing w:val="1"/>
          <w:w w:val="105"/>
          <w:position w:val="-13"/>
          <w:sz w:val="24"/>
        </w:rPr>
        <w:t> </w:t>
      </w:r>
      <w:r>
        <w:rPr>
          <w:rFonts w:ascii="Symbola" w:hAnsi="Symbola"/>
          <w:w w:val="105"/>
          <w:sz w:val="17"/>
        </w:rPr>
        <w:t>ℎ</w:t>
      </w:r>
    </w:p>
    <w:p>
      <w:pPr>
        <w:spacing w:before="15"/>
        <w:ind w:left="332" w:right="0" w:firstLine="0"/>
        <w:jc w:val="left"/>
        <w:rPr>
          <w:rFonts w:ascii="Symbola" w:eastAsia="Symbola"/>
          <w:sz w:val="17"/>
        </w:rPr>
      </w:pPr>
      <w:r>
        <w:rPr/>
        <w:pict>
          <v:rect style="position:absolute;margin-left:174.720001pt;margin-top:-2.422665pt;width:12.96pt;height:.84pt;mso-position-horizontal-relative:page;mso-position-vertical-relative:paragraph;z-index:-18415104" filled="true" fillcolor="#000000" stroked="false">
            <v:fill type="solid"/>
            <w10:wrap type="none"/>
          </v:rect>
        </w:pict>
      </w:r>
      <w:r>
        <w:rPr>
          <w:rFonts w:ascii="Symbola" w:eastAsia="Symbola"/>
          <w:spacing w:val="-1"/>
          <w:w w:val="130"/>
          <w:sz w:val="17"/>
        </w:rPr>
        <w:t>𝑚𝑣</w:t>
      </w:r>
    </w:p>
    <w:p>
      <w:pPr>
        <w:pStyle w:val="BodyText"/>
        <w:rPr>
          <w:rFonts w:ascii="Symbola"/>
          <w:sz w:val="27"/>
        </w:rPr>
      </w:pPr>
      <w:r>
        <w:rPr/>
        <w:br w:type="column"/>
      </w:r>
      <w:r>
        <w:rPr>
          <w:rFonts w:ascii="Symbola"/>
          <w:sz w:val="27"/>
        </w:rPr>
      </w:r>
    </w:p>
    <w:p>
      <w:pPr>
        <w:pStyle w:val="BodyText"/>
        <w:ind w:left="181"/>
      </w:pPr>
      <w:r>
        <w:rPr/>
        <w:t>····························································· (17.1)</w:t>
      </w:r>
    </w:p>
    <w:p>
      <w:pPr>
        <w:spacing w:after="0"/>
        <w:sectPr>
          <w:type w:val="continuous"/>
          <w:pgSz w:w="11910" w:h="16840"/>
          <w:pgMar w:top="1300" w:bottom="940" w:left="1500" w:right="1480"/>
          <w:cols w:num="3" w:equalWidth="0">
            <w:col w:w="1622" w:space="40"/>
            <w:col w:w="587" w:space="39"/>
            <w:col w:w="6642"/>
          </w:cols>
        </w:sectPr>
      </w:pPr>
    </w:p>
    <w:p>
      <w:pPr>
        <w:pStyle w:val="BodyText"/>
        <w:rPr>
          <w:sz w:val="21"/>
        </w:rPr>
      </w:pPr>
    </w:p>
    <w:p>
      <w:pPr>
        <w:pStyle w:val="BodyText"/>
        <w:spacing w:before="90"/>
        <w:ind w:left="1020"/>
      </w:pPr>
      <w:r>
        <w:rPr/>
        <w:t>where,</w:t>
      </w:r>
    </w:p>
    <w:p>
      <w:pPr>
        <w:pStyle w:val="BodyText"/>
        <w:spacing w:before="7"/>
        <w:rPr>
          <w:sz w:val="21"/>
        </w:rPr>
      </w:pPr>
    </w:p>
    <w:p>
      <w:pPr>
        <w:pStyle w:val="BodyText"/>
        <w:spacing w:line="360" w:lineRule="auto" w:before="90"/>
        <w:ind w:left="1740"/>
      </w:pPr>
      <w:r>
        <w:rPr>
          <w:i/>
        </w:rPr>
        <w:t>h </w:t>
      </w:r>
      <w:r>
        <w:rPr/>
        <w:t>is the Planck’s constant, </w:t>
      </w:r>
      <w:r>
        <w:rPr>
          <w:i/>
        </w:rPr>
        <w:t>m </w:t>
      </w:r>
      <w:r>
        <w:rPr/>
        <w:t>is the mass of the particle, and </w:t>
      </w:r>
      <w:r>
        <w:rPr>
          <w:i/>
        </w:rPr>
        <w:t>v </w:t>
      </w:r>
      <w:r>
        <w:rPr/>
        <w:t>is the velocity of the particle</w:t>
      </w:r>
    </w:p>
    <w:p>
      <w:pPr>
        <w:spacing w:after="0" w:line="360" w:lineRule="auto"/>
        <w:sectPr>
          <w:type w:val="continuous"/>
          <w:pgSz w:w="11910" w:h="16840"/>
          <w:pgMar w:top="1300" w:bottom="940" w:left="1500" w:right="1480"/>
        </w:sectPr>
      </w:pPr>
    </w:p>
    <w:p>
      <w:pPr>
        <w:pStyle w:val="BodyText"/>
        <w:spacing w:before="119"/>
        <w:ind w:left="300"/>
      </w:pPr>
      <w:r>
        <w:rPr/>
        <w:t>In an electron microscope, the electrons are accelerated under a potential difference,</w:t>
      </w:r>
    </w:p>
    <w:p>
      <w:pPr>
        <w:pStyle w:val="BodyText"/>
        <w:spacing w:before="137"/>
        <w:ind w:left="300"/>
      </w:pPr>
      <w:r>
        <w:rPr>
          <w:i/>
        </w:rPr>
        <w:t>V</w:t>
      </w:r>
      <w:r>
        <w:rPr/>
        <w:t>; the potential energy equals the kinetic energy of the accelerated electrons:</w:t>
      </w:r>
    </w:p>
    <w:p>
      <w:pPr>
        <w:pStyle w:val="BodyText"/>
        <w:spacing w:before="8"/>
        <w:rPr>
          <w:sz w:val="19"/>
        </w:rPr>
      </w:pPr>
    </w:p>
    <w:p>
      <w:pPr>
        <w:spacing w:after="0"/>
        <w:rPr>
          <w:sz w:val="19"/>
        </w:rPr>
        <w:sectPr>
          <w:pgSz w:w="11910" w:h="16840"/>
          <w:pgMar w:header="722" w:footer="748" w:top="1300" w:bottom="940" w:left="1500" w:right="1480"/>
        </w:sectPr>
      </w:pPr>
    </w:p>
    <w:p>
      <w:pPr>
        <w:pStyle w:val="BodyText"/>
        <w:spacing w:line="329" w:lineRule="exact" w:before="127"/>
        <w:ind w:left="1020"/>
        <w:rPr>
          <w:rFonts w:ascii="Symbola" w:eastAsia="Symbola"/>
          <w:sz w:val="14"/>
        </w:rPr>
      </w:pPr>
      <w:r>
        <w:rPr/>
        <w:pict>
          <v:rect style="position:absolute;margin-left:158.160004pt;margin-top:17.999233pt;width:24pt;height:.84pt;mso-position-horizontal-relative:page;mso-position-vertical-relative:paragraph;z-index:-18413568" filled="true" fillcolor="#000000" stroked="false">
            <v:fill type="solid"/>
            <w10:wrap type="none"/>
          </v:rect>
        </w:pict>
      </w:r>
      <w:r>
        <w:rPr>
          <w:rFonts w:ascii="Symbola" w:eastAsia="Symbola"/>
          <w:w w:val="110"/>
        </w:rPr>
        <w:t>𝑒𝑉 = </w:t>
      </w:r>
      <w:r>
        <w:rPr>
          <w:rFonts w:ascii="Symbola" w:eastAsia="Symbola"/>
          <w:w w:val="120"/>
          <w:vertAlign w:val="superscript"/>
        </w:rPr>
        <w:t>𝑚0</w:t>
      </w:r>
      <w:r>
        <w:rPr>
          <w:rFonts w:ascii="Symbola" w:eastAsia="Symbola"/>
          <w:w w:val="120"/>
          <w:vertAlign w:val="baseline"/>
        </w:rPr>
        <w:t> </w:t>
      </w:r>
      <w:r>
        <w:rPr>
          <w:rFonts w:ascii="Symbola" w:eastAsia="Symbola"/>
          <w:w w:val="110"/>
          <w:vertAlign w:val="superscript"/>
        </w:rPr>
        <w:t>𝑣</w:t>
      </w:r>
      <w:r>
        <w:rPr>
          <w:rFonts w:ascii="Symbola" w:eastAsia="Symbola"/>
          <w:w w:val="110"/>
          <w:position w:val="20"/>
          <w:sz w:val="14"/>
          <w:vertAlign w:val="baseline"/>
        </w:rPr>
        <w:t>2</w:t>
      </w:r>
    </w:p>
    <w:p>
      <w:pPr>
        <w:spacing w:line="137" w:lineRule="exact" w:before="0"/>
        <w:ind w:left="0" w:right="183" w:firstLine="0"/>
        <w:jc w:val="right"/>
        <w:rPr>
          <w:rFonts w:ascii="Symbola"/>
          <w:sz w:val="17"/>
        </w:rPr>
      </w:pPr>
      <w:r>
        <w:rPr>
          <w:rFonts w:ascii="Symbola"/>
          <w:w w:val="115"/>
          <w:sz w:val="17"/>
        </w:rPr>
        <w:t>2</w:t>
      </w:r>
    </w:p>
    <w:p>
      <w:pPr>
        <w:pStyle w:val="BodyText"/>
        <w:spacing w:before="213"/>
        <w:ind w:left="292"/>
      </w:pPr>
      <w:r>
        <w:rPr/>
        <w:br w:type="column"/>
      </w:r>
      <w:r>
        <w:rPr/>
        <w:t>····························································· (17.2)</w:t>
      </w:r>
    </w:p>
    <w:p>
      <w:pPr>
        <w:spacing w:after="0"/>
        <w:sectPr>
          <w:type w:val="continuous"/>
          <w:pgSz w:w="11910" w:h="16840"/>
          <w:pgMar w:top="1300" w:bottom="940" w:left="1500" w:right="1480"/>
          <w:cols w:num="2" w:equalWidth="0">
            <w:col w:w="2138" w:space="40"/>
            <w:col w:w="6752"/>
          </w:cols>
        </w:sectPr>
      </w:pPr>
    </w:p>
    <w:p>
      <w:pPr>
        <w:pStyle w:val="BodyText"/>
        <w:rPr>
          <w:sz w:val="20"/>
        </w:rPr>
      </w:pPr>
    </w:p>
    <w:p>
      <w:pPr>
        <w:pStyle w:val="BodyText"/>
        <w:spacing w:after="1"/>
        <w:rPr>
          <w:sz w:val="11"/>
        </w:rPr>
      </w:pPr>
    </w:p>
    <w:p>
      <w:pPr>
        <w:pStyle w:val="BodyText"/>
        <w:spacing w:line="20" w:lineRule="exact"/>
        <w:ind w:left="1704"/>
        <w:rPr>
          <w:sz w:val="2"/>
        </w:rPr>
      </w:pPr>
      <w:r>
        <w:rPr>
          <w:sz w:val="2"/>
        </w:rPr>
        <w:pict>
          <v:group style="width:15.4pt;height:.85pt;mso-position-horizontal-relative:char;mso-position-vertical-relative:line" coordorigin="0,0" coordsize="308,17">
            <v:rect style="position:absolute;left:0;top:0;width:308;height:17" filled="true" fillcolor="#000000" stroked="false">
              <v:fill type="solid"/>
            </v:rect>
          </v:group>
        </w:pict>
      </w:r>
      <w:r>
        <w:rPr>
          <w:sz w:val="2"/>
        </w:rPr>
      </w:r>
    </w:p>
    <w:p>
      <w:pPr>
        <w:spacing w:after="0" w:line="20" w:lineRule="exact"/>
        <w:rPr>
          <w:sz w:val="2"/>
        </w:rPr>
        <w:sectPr>
          <w:type w:val="continuous"/>
          <w:pgSz w:w="11910" w:h="16840"/>
          <w:pgMar w:top="1300" w:bottom="940" w:left="1500" w:right="1480"/>
        </w:sectPr>
      </w:pPr>
    </w:p>
    <w:p>
      <w:pPr>
        <w:spacing w:line="168" w:lineRule="auto" w:before="42"/>
        <w:ind w:left="1020" w:right="0" w:firstLine="0"/>
        <w:jc w:val="left"/>
        <w:rPr>
          <w:rFonts w:ascii="Symbola" w:hAnsi="Symbola" w:cs="Symbola" w:eastAsia="Symbola"/>
          <w:sz w:val="17"/>
          <w:szCs w:val="17"/>
        </w:rPr>
      </w:pPr>
      <w:r>
        <w:rPr>
          <w:rFonts w:ascii="Symbola" w:hAnsi="Symbola" w:cs="Symbola" w:eastAsia="Symbola"/>
          <w:position w:val="-13"/>
          <w:sz w:val="24"/>
          <w:szCs w:val="24"/>
        </w:rPr>
        <w:t>𝑣  = </w:t>
      </w:r>
      <w:r>
        <w:rPr>
          <w:rFonts w:ascii="Symbola" w:hAnsi="Symbola" w:cs="Symbola" w:eastAsia="Symbola"/>
          <w:spacing w:val="-44"/>
          <w:position w:val="-15"/>
          <w:sz w:val="24"/>
          <w:szCs w:val="24"/>
        </w:rPr>
        <w:t>�</w:t>
      </w:r>
      <w:r>
        <w:rPr>
          <w:rFonts w:ascii="Symbola" w:hAnsi="Symbola" w:cs="Symbola" w:eastAsia="Symbola"/>
          <w:spacing w:val="-44"/>
          <w:sz w:val="17"/>
          <w:szCs w:val="17"/>
          <w:u w:val="single"/>
        </w:rPr>
        <w:t>2𝑒𝑉</w:t>
      </w:r>
    </w:p>
    <w:p>
      <w:pPr>
        <w:spacing w:line="171" w:lineRule="exact" w:before="0"/>
        <w:ind w:left="0" w:right="32" w:firstLine="0"/>
        <w:jc w:val="right"/>
        <w:rPr>
          <w:rFonts w:ascii="Symbola" w:eastAsia="Symbola"/>
          <w:sz w:val="14"/>
        </w:rPr>
      </w:pPr>
      <w:r>
        <w:rPr>
          <w:rFonts w:ascii="Symbola" w:eastAsia="Symbola"/>
          <w:w w:val="140"/>
          <w:sz w:val="17"/>
        </w:rPr>
        <w:t>𝑚</w:t>
      </w:r>
      <w:r>
        <w:rPr>
          <w:rFonts w:ascii="Symbola" w:eastAsia="Symbola"/>
          <w:w w:val="140"/>
          <w:position w:val="-2"/>
          <w:sz w:val="14"/>
        </w:rPr>
        <w:t>0</w:t>
      </w:r>
    </w:p>
    <w:p>
      <w:pPr>
        <w:pStyle w:val="BodyText"/>
        <w:spacing w:before="84"/>
        <w:ind w:left="421"/>
      </w:pPr>
      <w:r>
        <w:rPr/>
        <w:br w:type="column"/>
      </w:r>
      <w:r>
        <w:rPr/>
        <w:t>····························································· (17.3)</w:t>
      </w:r>
    </w:p>
    <w:p>
      <w:pPr>
        <w:spacing w:after="0"/>
        <w:sectPr>
          <w:type w:val="continuous"/>
          <w:pgSz w:w="11910" w:h="16840"/>
          <w:pgMar w:top="1300" w:bottom="940" w:left="1500" w:right="1480"/>
          <w:cols w:num="2" w:equalWidth="0">
            <w:col w:w="2009" w:space="40"/>
            <w:col w:w="6881"/>
          </w:cols>
        </w:sectPr>
      </w:pPr>
    </w:p>
    <w:p>
      <w:pPr>
        <w:pStyle w:val="BodyText"/>
        <w:spacing w:before="9"/>
        <w:rPr>
          <w:sz w:val="22"/>
        </w:rPr>
      </w:pPr>
    </w:p>
    <w:p>
      <w:pPr>
        <w:pStyle w:val="BodyText"/>
        <w:spacing w:line="364" w:lineRule="auto" w:before="104"/>
        <w:ind w:left="1020" w:right="443"/>
      </w:pPr>
      <w:r>
        <w:rPr/>
        <w:t>where, </w:t>
      </w:r>
      <w:r>
        <w:rPr>
          <w:i/>
        </w:rPr>
        <w:t>e, </w:t>
      </w:r>
      <w:r>
        <w:rPr>
          <w:rFonts w:ascii="Symbola" w:eastAsia="Symbola"/>
        </w:rPr>
        <w:t>𝑚</w:t>
      </w:r>
      <w:r>
        <w:rPr>
          <w:rFonts w:ascii="Symbola" w:eastAsia="Symbola"/>
          <w:vertAlign w:val="subscript"/>
        </w:rPr>
        <w:t>0</w:t>
      </w:r>
      <w:r>
        <w:rPr>
          <w:i/>
          <w:vertAlign w:val="baseline"/>
        </w:rPr>
        <w:t>, </w:t>
      </w:r>
      <w:r>
        <w:rPr>
          <w:vertAlign w:val="baseline"/>
        </w:rPr>
        <w:t>and </w:t>
      </w:r>
      <w:r>
        <w:rPr>
          <w:i/>
          <w:vertAlign w:val="baseline"/>
        </w:rPr>
        <w:t>v </w:t>
      </w:r>
      <w:r>
        <w:rPr>
          <w:vertAlign w:val="baseline"/>
        </w:rPr>
        <w:t>are the charge, the rest mass, and the velocity of the electrons, respectively.</w:t>
      </w:r>
    </w:p>
    <w:p>
      <w:pPr>
        <w:pStyle w:val="BodyText"/>
        <w:spacing w:before="195"/>
        <w:ind w:left="300"/>
      </w:pPr>
      <w:r>
        <w:rPr/>
        <w:t>Substituting for </w:t>
      </w:r>
      <w:r>
        <w:rPr>
          <w:i/>
        </w:rPr>
        <w:t>v </w:t>
      </w:r>
      <w:r>
        <w:rPr/>
        <w:t>in equation 17.1:</w:t>
      </w:r>
    </w:p>
    <w:p>
      <w:pPr>
        <w:pStyle w:val="BodyText"/>
        <w:spacing w:before="10"/>
        <w:rPr>
          <w:sz w:val="19"/>
        </w:rPr>
      </w:pPr>
    </w:p>
    <w:p>
      <w:pPr>
        <w:spacing w:after="0"/>
        <w:rPr>
          <w:sz w:val="19"/>
        </w:rPr>
        <w:sectPr>
          <w:type w:val="continuous"/>
          <w:pgSz w:w="11910" w:h="16840"/>
          <w:pgMar w:top="1300" w:bottom="940" w:left="1500" w:right="1480"/>
        </w:sectPr>
      </w:pPr>
    </w:p>
    <w:p>
      <w:pPr>
        <w:pStyle w:val="BodyText"/>
        <w:tabs>
          <w:tab w:pos="1799" w:val="left" w:leader="none"/>
        </w:tabs>
        <w:spacing w:line="207" w:lineRule="exact" w:before="216"/>
        <w:ind w:left="1020"/>
        <w:rPr>
          <w:rFonts w:ascii="Symbola" w:hAnsi="Symbola" w:eastAsia="Symbola"/>
        </w:rPr>
      </w:pPr>
      <w:r>
        <w:rPr/>
        <w:pict>
          <v:shape style="position:absolute;margin-left:150.720001pt;margin-top:16.369108pt;width:34.25pt;height:2.8pt;mso-position-horizontal-relative:page;mso-position-vertical-relative:paragraph;z-index:-18413056" coordorigin="3014,327" coordsize="685,56" path="m3696,327l3014,327,3014,344,3696,344,3696,327xm3698,371l3142,371,3142,383,3698,383,3698,371xe" filled="true" fillcolor="#000000" stroked="false">
            <v:path arrowok="t"/>
            <v:fill type="solid"/>
            <w10:wrap type="none"/>
          </v:shape>
        </w:pict>
      </w:r>
      <w:r>
        <w:rPr>
          <w:rFonts w:ascii="Symbola" w:hAnsi="Symbola" w:eastAsia="Symbola"/>
        </w:rPr>
        <w:t>𝜆</w:t>
      </w:r>
      <w:r>
        <w:rPr>
          <w:rFonts w:ascii="Symbola" w:hAnsi="Symbola" w:eastAsia="Symbola"/>
          <w:spacing w:val="3"/>
        </w:rPr>
        <w:t> </w:t>
      </w:r>
      <w:r>
        <w:rPr>
          <w:rFonts w:ascii="Symbola" w:hAnsi="Symbola" w:eastAsia="Symbola"/>
        </w:rPr>
        <w:t>=</w:t>
        <w:tab/>
      </w:r>
      <w:r>
        <w:rPr>
          <w:rFonts w:ascii="Symbola" w:hAnsi="Symbola" w:eastAsia="Symbola"/>
          <w:vertAlign w:val="superscript"/>
        </w:rPr>
        <w:t>ℎ</w:t>
      </w:r>
    </w:p>
    <w:p>
      <w:pPr>
        <w:spacing w:line="161" w:lineRule="exact" w:before="0"/>
        <w:ind w:left="0" w:right="0" w:firstLine="0"/>
        <w:jc w:val="right"/>
        <w:rPr>
          <w:rFonts w:ascii="Symbola" w:hAnsi="Symbola" w:cs="Symbola" w:eastAsia="Symbola"/>
          <w:sz w:val="17"/>
          <w:szCs w:val="17"/>
        </w:rPr>
      </w:pPr>
      <w:r>
        <w:rPr>
          <w:rFonts w:ascii="Symbola" w:hAnsi="Symbola" w:cs="Symbola" w:eastAsia="Symbola"/>
          <w:w w:val="74"/>
          <w:sz w:val="17"/>
          <w:szCs w:val="17"/>
        </w:rPr>
        <w:t>�</w:t>
      </w:r>
      <w:r>
        <w:rPr>
          <w:rFonts w:ascii="Symbola" w:hAnsi="Symbola" w:cs="Symbola" w:eastAsia="Symbola"/>
          <w:spacing w:val="-1"/>
          <w:w w:val="115"/>
          <w:position w:val="1"/>
          <w:sz w:val="17"/>
          <w:szCs w:val="17"/>
        </w:rPr>
        <w:t>2</w:t>
      </w:r>
      <w:r>
        <w:rPr>
          <w:rFonts w:ascii="Symbola" w:hAnsi="Symbola" w:cs="Symbola" w:eastAsia="Symbola"/>
          <w:spacing w:val="-1"/>
          <w:w w:val="166"/>
          <w:position w:val="1"/>
          <w:sz w:val="17"/>
          <w:szCs w:val="17"/>
        </w:rPr>
        <w:t>𝑚</w:t>
      </w:r>
      <w:r>
        <w:rPr>
          <w:rFonts w:ascii="Symbola" w:hAnsi="Symbola" w:cs="Symbola" w:eastAsia="Symbola"/>
          <w:spacing w:val="8"/>
          <w:w w:val="118"/>
          <w:position w:val="-1"/>
          <w:sz w:val="14"/>
          <w:szCs w:val="14"/>
        </w:rPr>
        <w:t>0</w:t>
      </w:r>
      <w:r>
        <w:rPr>
          <w:rFonts w:ascii="Symbola" w:hAnsi="Symbola" w:cs="Symbola" w:eastAsia="Symbola"/>
          <w:spacing w:val="1"/>
          <w:w w:val="106"/>
          <w:position w:val="1"/>
          <w:sz w:val="17"/>
          <w:szCs w:val="17"/>
        </w:rPr>
        <w:t>𝑒𝑉</w:t>
      </w:r>
    </w:p>
    <w:p>
      <w:pPr>
        <w:pStyle w:val="BodyText"/>
        <w:spacing w:before="180"/>
        <w:ind w:left="234"/>
      </w:pPr>
      <w:r>
        <w:rPr/>
        <w:br w:type="column"/>
      </w:r>
      <w:r>
        <w:rPr/>
        <w:t>····························································· (17.4)</w:t>
      </w:r>
    </w:p>
    <w:p>
      <w:pPr>
        <w:spacing w:after="0"/>
        <w:sectPr>
          <w:type w:val="continuous"/>
          <w:pgSz w:w="11910" w:h="16840"/>
          <w:pgMar w:top="1300" w:bottom="940" w:left="1500" w:right="1480"/>
          <w:cols w:num="2" w:equalWidth="0">
            <w:col w:w="2196" w:space="40"/>
            <w:col w:w="6694"/>
          </w:cols>
        </w:sectPr>
      </w:pPr>
    </w:p>
    <w:p>
      <w:pPr>
        <w:pStyle w:val="BodyText"/>
        <w:spacing w:before="4"/>
        <w:rPr>
          <w:sz w:val="21"/>
        </w:rPr>
      </w:pPr>
    </w:p>
    <w:p>
      <w:pPr>
        <w:pStyle w:val="BodyText"/>
        <w:spacing w:line="360" w:lineRule="auto" w:before="90"/>
        <w:ind w:left="300" w:right="315"/>
        <w:jc w:val="both"/>
      </w:pPr>
      <w:r>
        <w:rPr/>
        <w:t>Equation 17.4 shows that the wavelength of the electrons depends on the accelerating potential, V. At very large accelerating potentials, the electron velocity can approach the velocity of light, </w:t>
      </w:r>
      <w:r>
        <w:rPr>
          <w:i/>
        </w:rPr>
        <w:t>c</w:t>
      </w:r>
      <w:r>
        <w:rPr/>
        <w:t>; the relativistic effects become significant at accelerating potentials higher than ~100 kV. Incorporating the relativistic effects in the expression for wavelength given in equation 17.4 gives:</w:t>
      </w:r>
    </w:p>
    <w:p>
      <w:pPr>
        <w:spacing w:after="0" w:line="360" w:lineRule="auto"/>
        <w:jc w:val="both"/>
        <w:sectPr>
          <w:type w:val="continuous"/>
          <w:pgSz w:w="11910" w:h="16840"/>
          <w:pgMar w:top="1300" w:bottom="940" w:left="1500" w:right="1480"/>
        </w:sectPr>
      </w:pPr>
    </w:p>
    <w:p>
      <w:pPr>
        <w:pStyle w:val="BodyText"/>
        <w:tabs>
          <w:tab w:pos="2234" w:val="left" w:leader="none"/>
        </w:tabs>
        <w:spacing w:line="214" w:lineRule="exact" w:before="306"/>
        <w:ind w:left="1020"/>
        <w:rPr>
          <w:rFonts w:ascii="Symbola" w:hAnsi="Symbola" w:eastAsia="Symbola"/>
        </w:rPr>
      </w:pPr>
      <w:r>
        <w:rPr/>
        <w:pict>
          <v:shape style="position:absolute;margin-left:150.720001pt;margin-top:20.871124pt;width:77.55pt;height:2.65pt;mso-position-horizontal-relative:page;mso-position-vertical-relative:paragraph;z-index:-18412032" coordorigin="3014,417" coordsize="1551,53" path="m4565,458l3142,458,3142,470,4565,470,4565,458xm4565,417l3014,417,3014,434,4565,434,4565,417xe" filled="true" fillcolor="#000000" stroked="false">
            <v:path arrowok="t"/>
            <v:fill type="solid"/>
            <w10:wrap type="none"/>
          </v:shape>
        </w:pict>
      </w:r>
      <w:r>
        <w:rPr>
          <w:rFonts w:ascii="Symbola" w:hAnsi="Symbola" w:eastAsia="Symbola"/>
        </w:rPr>
        <w:t>𝜆</w:t>
      </w:r>
      <w:r>
        <w:rPr>
          <w:rFonts w:ascii="Symbola" w:hAnsi="Symbola" w:eastAsia="Symbola"/>
          <w:spacing w:val="3"/>
        </w:rPr>
        <w:t> </w:t>
      </w:r>
      <w:r>
        <w:rPr>
          <w:rFonts w:ascii="Symbola" w:hAnsi="Symbola" w:eastAsia="Symbola"/>
        </w:rPr>
        <w:t>=</w:t>
        <w:tab/>
      </w:r>
      <w:r>
        <w:rPr>
          <w:rFonts w:ascii="Symbola" w:hAnsi="Symbola" w:eastAsia="Symbola"/>
          <w:vertAlign w:val="superscript"/>
        </w:rPr>
        <w:t>ℎ</w:t>
      </w:r>
    </w:p>
    <w:p>
      <w:pPr>
        <w:spacing w:line="195" w:lineRule="exact" w:before="0"/>
        <w:ind w:left="1514" w:right="0" w:firstLine="0"/>
        <w:jc w:val="left"/>
        <w:rPr>
          <w:rFonts w:ascii="Symbola" w:hAnsi="Symbola" w:cs="Symbola" w:eastAsia="Symbola"/>
          <w:sz w:val="17"/>
          <w:szCs w:val="17"/>
        </w:rPr>
      </w:pPr>
      <w:r>
        <w:rPr/>
        <w:pict>
          <v:rect style="position:absolute;margin-left:200.279999pt;margin-top:6.411142pt;width:23.881pt;height:.6pt;mso-position-horizontal-relative:page;mso-position-vertical-relative:paragraph;z-index:-18412544" filled="true" fillcolor="#000000" stroked="false">
            <v:fill type="solid"/>
            <w10:wrap type="none"/>
          </v:rect>
        </w:pict>
      </w:r>
      <w:r>
        <w:rPr/>
        <w:pict>
          <v:shape style="position:absolute;margin-left:169.919998pt;margin-top:4.237782pt;width:53.85pt;height:9.15pt;mso-position-horizontal-relative:page;mso-position-vertical-relative:paragraph;z-index:-18409472" type="#_x0000_t202" filled="false" stroked="false">
            <v:textbox inset="0,0,0,0">
              <w:txbxContent>
                <w:p>
                  <w:pPr>
                    <w:tabs>
                      <w:tab w:pos="993" w:val="left" w:leader="none"/>
                    </w:tabs>
                    <w:spacing w:before="21"/>
                    <w:ind w:left="0" w:right="0" w:firstLine="0"/>
                    <w:jc w:val="left"/>
                    <w:rPr>
                      <w:rFonts w:ascii="Symbola"/>
                      <w:sz w:val="14"/>
                    </w:rPr>
                  </w:pPr>
                  <w:r>
                    <w:rPr>
                      <w:rFonts w:ascii="Symbola"/>
                      <w:w w:val="120"/>
                      <w:position w:val="2"/>
                      <w:sz w:val="14"/>
                    </w:rPr>
                    <w:t>0</w:t>
                    <w:tab/>
                  </w:r>
                  <w:r>
                    <w:rPr>
                      <w:rFonts w:ascii="Symbola"/>
                      <w:spacing w:val="-20"/>
                      <w:w w:val="120"/>
                      <w:sz w:val="14"/>
                    </w:rPr>
                    <w:t>2</w:t>
                  </w:r>
                </w:p>
              </w:txbxContent>
            </v:textbox>
            <w10:wrap type="none"/>
          </v:shape>
        </w:pict>
      </w:r>
      <w:r>
        <w:rPr>
          <w:rFonts w:ascii="Symbola" w:hAnsi="Symbola" w:cs="Symbola" w:eastAsia="Symbola"/>
          <w:spacing w:val="-1"/>
          <w:w w:val="75"/>
          <w:sz w:val="17"/>
          <w:szCs w:val="17"/>
        </w:rPr>
        <w:t>�</w:t>
      </w:r>
      <w:r>
        <w:rPr>
          <w:rFonts w:ascii="Symbola" w:hAnsi="Symbola" w:cs="Symbola" w:eastAsia="Symbola"/>
          <w:spacing w:val="-1"/>
          <w:w w:val="115"/>
          <w:sz w:val="17"/>
          <w:szCs w:val="17"/>
        </w:rPr>
        <w:t>2</w:t>
      </w:r>
      <w:r>
        <w:rPr>
          <w:rFonts w:ascii="Symbola" w:hAnsi="Symbola" w:cs="Symbola" w:eastAsia="Symbola"/>
          <w:w w:val="166"/>
          <w:sz w:val="17"/>
          <w:szCs w:val="17"/>
        </w:rPr>
        <w:t>𝑚</w:t>
      </w:r>
      <w:r>
        <w:rPr>
          <w:rFonts w:ascii="Symbola" w:hAnsi="Symbola" w:cs="Symbola" w:eastAsia="Symbola"/>
          <w:sz w:val="17"/>
          <w:szCs w:val="17"/>
        </w:rPr>
        <w:t> </w:t>
      </w:r>
      <w:r>
        <w:rPr>
          <w:rFonts w:ascii="Symbola" w:hAnsi="Symbola" w:cs="Symbola" w:eastAsia="Symbola"/>
          <w:spacing w:val="5"/>
          <w:sz w:val="17"/>
          <w:szCs w:val="17"/>
        </w:rPr>
        <w:t> </w:t>
      </w:r>
      <w:r>
        <w:rPr>
          <w:rFonts w:ascii="Symbola" w:hAnsi="Symbola" w:cs="Symbola" w:eastAsia="Symbola"/>
          <w:spacing w:val="1"/>
          <w:w w:val="106"/>
          <w:sz w:val="17"/>
          <w:szCs w:val="17"/>
        </w:rPr>
        <w:t>𝑒</w:t>
      </w:r>
      <w:r>
        <w:rPr>
          <w:rFonts w:ascii="Symbola" w:hAnsi="Symbola" w:cs="Symbola" w:eastAsia="Symbola"/>
          <w:spacing w:val="4"/>
          <w:w w:val="106"/>
          <w:sz w:val="17"/>
          <w:szCs w:val="17"/>
        </w:rPr>
        <w:t>𝑉</w:t>
      </w:r>
      <w:r>
        <w:rPr>
          <w:rFonts w:ascii="Symbola" w:hAnsi="Symbola" w:cs="Symbola" w:eastAsia="Symbola"/>
          <w:spacing w:val="-1"/>
          <w:w w:val="49"/>
          <w:sz w:val="17"/>
          <w:szCs w:val="17"/>
        </w:rPr>
        <w:t>�</w:t>
      </w:r>
      <w:r>
        <w:rPr>
          <w:rFonts w:ascii="Symbola" w:hAnsi="Symbola" w:cs="Symbola" w:eastAsia="Symbola"/>
          <w:spacing w:val="-1"/>
          <w:w w:val="115"/>
          <w:sz w:val="17"/>
          <w:szCs w:val="17"/>
        </w:rPr>
        <w:t>1</w:t>
      </w:r>
      <w:r>
        <w:rPr>
          <w:rFonts w:ascii="Symbola" w:hAnsi="Symbola" w:cs="Symbola" w:eastAsia="Symbola"/>
          <w:w w:val="93"/>
          <w:sz w:val="17"/>
          <w:szCs w:val="17"/>
        </w:rPr>
        <w:t>+</w:t>
      </w:r>
      <w:r>
        <w:rPr>
          <w:rFonts w:ascii="Symbola" w:hAnsi="Symbola" w:cs="Symbola" w:eastAsia="Symbola"/>
          <w:sz w:val="17"/>
          <w:szCs w:val="17"/>
        </w:rPr>
        <w:t>  </w:t>
      </w:r>
      <w:r>
        <w:rPr>
          <w:rFonts w:ascii="Symbola" w:hAnsi="Symbola" w:cs="Symbola" w:eastAsia="Symbola"/>
          <w:spacing w:val="19"/>
          <w:sz w:val="17"/>
          <w:szCs w:val="17"/>
        </w:rPr>
        <w:t> </w:t>
      </w:r>
      <w:r>
        <w:rPr>
          <w:rFonts w:ascii="Symbola" w:hAnsi="Symbola" w:cs="Symbola" w:eastAsia="Symbola"/>
          <w:spacing w:val="-1"/>
          <w:w w:val="115"/>
          <w:position w:val="10"/>
          <w:sz w:val="14"/>
          <w:szCs w:val="14"/>
        </w:rPr>
        <w:t>𝑒</w:t>
      </w:r>
      <w:r>
        <w:rPr>
          <w:rFonts w:ascii="Symbola" w:hAnsi="Symbola" w:cs="Symbola" w:eastAsia="Symbola"/>
          <w:w w:val="115"/>
          <w:position w:val="10"/>
          <w:sz w:val="14"/>
          <w:szCs w:val="14"/>
        </w:rPr>
        <w:t>𝑉</w:t>
      </w:r>
      <w:r>
        <w:rPr>
          <w:rFonts w:ascii="Symbola" w:hAnsi="Symbola" w:cs="Symbola" w:eastAsia="Symbola"/>
          <w:position w:val="10"/>
          <w:sz w:val="14"/>
          <w:szCs w:val="14"/>
        </w:rPr>
        <w:t>   </w:t>
      </w:r>
      <w:r>
        <w:rPr>
          <w:rFonts w:ascii="Symbola" w:hAnsi="Symbola" w:cs="Symbola" w:eastAsia="Symbola"/>
          <w:spacing w:val="10"/>
          <w:position w:val="10"/>
          <w:sz w:val="14"/>
          <w:szCs w:val="14"/>
        </w:rPr>
        <w:t> </w:t>
      </w:r>
      <w:r>
        <w:rPr>
          <w:rFonts w:ascii="Symbola" w:hAnsi="Symbola" w:cs="Symbola" w:eastAsia="Symbola"/>
          <w:spacing w:val="-15"/>
          <w:w w:val="49"/>
          <w:sz w:val="17"/>
          <w:szCs w:val="17"/>
        </w:rPr>
        <w:t>�</w:t>
      </w:r>
    </w:p>
    <w:p>
      <w:pPr>
        <w:spacing w:line="184" w:lineRule="auto" w:before="0"/>
        <w:ind w:left="0" w:right="173" w:firstLine="0"/>
        <w:jc w:val="right"/>
        <w:rPr>
          <w:rFonts w:ascii="Symbola" w:eastAsia="Symbola"/>
          <w:sz w:val="14"/>
        </w:rPr>
      </w:pPr>
      <w:r>
        <w:rPr>
          <w:rFonts w:ascii="Symbola" w:eastAsia="Symbola"/>
          <w:w w:val="125"/>
          <w:sz w:val="14"/>
        </w:rPr>
        <w:t>2𝑚</w:t>
      </w:r>
      <w:r>
        <w:rPr>
          <w:rFonts w:ascii="Symbola" w:eastAsia="Symbola"/>
          <w:w w:val="125"/>
          <w:position w:val="-2"/>
          <w:sz w:val="14"/>
        </w:rPr>
        <w:t>0</w:t>
      </w:r>
      <w:r>
        <w:rPr>
          <w:rFonts w:ascii="Symbola" w:eastAsia="Symbola"/>
          <w:w w:val="125"/>
          <w:sz w:val="14"/>
        </w:rPr>
        <w:t>𝑐</w:t>
      </w:r>
    </w:p>
    <w:p>
      <w:pPr>
        <w:pStyle w:val="BodyText"/>
        <w:rPr>
          <w:rFonts w:ascii="Symbola"/>
          <w:sz w:val="27"/>
        </w:rPr>
      </w:pPr>
      <w:r>
        <w:rPr/>
        <w:br w:type="column"/>
      </w:r>
      <w:r>
        <w:rPr>
          <w:rFonts w:ascii="Symbola"/>
          <w:sz w:val="27"/>
        </w:rPr>
      </w:r>
    </w:p>
    <w:p>
      <w:pPr>
        <w:pStyle w:val="BodyText"/>
        <w:ind w:left="82"/>
      </w:pPr>
      <w:r>
        <w:rPr/>
        <w:t>··························································· (17.5)</w:t>
      </w:r>
    </w:p>
    <w:p>
      <w:pPr>
        <w:spacing w:after="0"/>
        <w:sectPr>
          <w:type w:val="continuous"/>
          <w:pgSz w:w="11910" w:h="16840"/>
          <w:pgMar w:top="1300" w:bottom="940" w:left="1500" w:right="1480"/>
          <w:cols w:num="2" w:equalWidth="0">
            <w:col w:w="3068" w:space="40"/>
            <w:col w:w="5822"/>
          </w:cols>
        </w:sectPr>
      </w:pPr>
    </w:p>
    <w:p>
      <w:pPr>
        <w:pStyle w:val="BodyText"/>
        <w:spacing w:before="4"/>
        <w:rPr>
          <w:sz w:val="19"/>
        </w:rPr>
      </w:pPr>
    </w:p>
    <w:p>
      <w:pPr>
        <w:pStyle w:val="BodyText"/>
        <w:spacing w:before="105"/>
        <w:ind w:left="300"/>
      </w:pPr>
      <w:r>
        <w:rPr/>
        <w:t>Substituting the values of </w:t>
      </w:r>
      <w:r>
        <w:rPr>
          <w:i/>
        </w:rPr>
        <w:t>h</w:t>
      </w:r>
      <w:r>
        <w:rPr/>
        <w:t>, </w:t>
      </w:r>
      <w:r>
        <w:rPr>
          <w:i/>
        </w:rPr>
        <w:t>e, </w:t>
      </w:r>
      <w:r>
        <w:rPr>
          <w:rFonts w:ascii="Symbola" w:eastAsia="Symbola"/>
        </w:rPr>
        <w:t>𝑚</w:t>
      </w:r>
      <w:r>
        <w:rPr>
          <w:rFonts w:ascii="Symbola" w:eastAsia="Symbola"/>
          <w:vertAlign w:val="subscript"/>
        </w:rPr>
        <w:t>0</w:t>
      </w:r>
      <w:r>
        <w:rPr>
          <w:vertAlign w:val="baseline"/>
        </w:rPr>
        <w:t>, and </w:t>
      </w:r>
      <w:r>
        <w:rPr>
          <w:i/>
          <w:vertAlign w:val="baseline"/>
        </w:rPr>
        <w:t>c </w:t>
      </w:r>
      <w:r>
        <w:rPr>
          <w:vertAlign w:val="baseline"/>
        </w:rPr>
        <w:t>in equation 17.5 gives:</w:t>
      </w:r>
    </w:p>
    <w:p>
      <w:pPr>
        <w:pStyle w:val="BodyText"/>
        <w:spacing w:before="10"/>
        <w:rPr>
          <w:sz w:val="19"/>
        </w:rPr>
      </w:pPr>
    </w:p>
    <w:p>
      <w:pPr>
        <w:spacing w:after="0"/>
        <w:rPr>
          <w:sz w:val="19"/>
        </w:rPr>
        <w:sectPr>
          <w:type w:val="continuous"/>
          <w:pgSz w:w="11910" w:h="16840"/>
          <w:pgMar w:top="1300" w:bottom="940" w:left="1500" w:right="1480"/>
        </w:sectPr>
      </w:pPr>
    </w:p>
    <w:p>
      <w:pPr>
        <w:tabs>
          <w:tab w:pos="1953" w:val="left" w:leader="none"/>
        </w:tabs>
        <w:spacing w:line="168" w:lineRule="auto" w:before="142"/>
        <w:ind w:left="1020" w:right="0" w:firstLine="0"/>
        <w:jc w:val="left"/>
        <w:rPr>
          <w:rFonts w:ascii="Symbola" w:eastAsia="Symbola"/>
          <w:sz w:val="17"/>
        </w:rPr>
      </w:pPr>
      <w:r>
        <w:rPr/>
        <w:pict>
          <v:shape style="position:absolute;margin-left:150.720001pt;margin-top:16.305578pt;width:55.6pt;height:2.65pt;mso-position-horizontal-relative:page;mso-position-vertical-relative:paragraph;z-index:-18411520" coordorigin="3014,326" coordsize="1112,53" path="m4123,326l3014,326,3014,343,4123,343,4123,326xm4126,367l3142,367,3142,379,4126,379,4126,367xe" filled="true" fillcolor="#000000" stroked="false">
            <v:path arrowok="t"/>
            <v:fill type="solid"/>
            <w10:wrap type="none"/>
          </v:shape>
        </w:pict>
      </w:r>
      <w:r>
        <w:rPr>
          <w:rFonts w:ascii="Symbola" w:eastAsia="Symbola"/>
          <w:position w:val="-13"/>
          <w:sz w:val="24"/>
        </w:rPr>
        <w:t>𝜆</w:t>
      </w:r>
      <w:r>
        <w:rPr>
          <w:rFonts w:ascii="Symbola" w:eastAsia="Symbola"/>
          <w:spacing w:val="4"/>
          <w:position w:val="-13"/>
          <w:sz w:val="24"/>
        </w:rPr>
        <w:t> </w:t>
      </w:r>
      <w:r>
        <w:rPr>
          <w:rFonts w:ascii="Symbola" w:eastAsia="Symbola"/>
          <w:position w:val="-13"/>
          <w:sz w:val="24"/>
        </w:rPr>
        <w:t>=</w:t>
        <w:tab/>
      </w:r>
      <w:r>
        <w:rPr>
          <w:rFonts w:ascii="Symbola" w:eastAsia="Symbola"/>
          <w:sz w:val="17"/>
        </w:rPr>
        <w:t>1.5</w:t>
      </w:r>
    </w:p>
    <w:p>
      <w:pPr>
        <w:spacing w:line="176" w:lineRule="exact" w:before="0"/>
        <w:ind w:left="1514" w:right="0" w:firstLine="0"/>
        <w:jc w:val="left"/>
        <w:rPr>
          <w:rFonts w:ascii="Symbola" w:hAnsi="Symbola" w:cs="Symbola" w:eastAsia="Symbola"/>
          <w:sz w:val="17"/>
          <w:szCs w:val="17"/>
        </w:rPr>
      </w:pPr>
      <w:r>
        <w:rPr>
          <w:rFonts w:ascii="Symbola" w:hAnsi="Symbola" w:cs="Symbola" w:eastAsia="Symbola"/>
          <w:spacing w:val="-3"/>
          <w:w w:val="110"/>
          <w:position w:val="1"/>
          <w:sz w:val="17"/>
          <w:szCs w:val="17"/>
        </w:rPr>
        <w:t>�(</w:t>
      </w:r>
      <w:r>
        <w:rPr>
          <w:rFonts w:ascii="Symbola" w:hAnsi="Symbola" w:cs="Symbola" w:eastAsia="Symbola"/>
          <w:spacing w:val="-3"/>
          <w:w w:val="110"/>
          <w:sz w:val="17"/>
          <w:szCs w:val="17"/>
        </w:rPr>
        <w:t>𝑉+10</w:t>
      </w:r>
      <w:r>
        <w:rPr>
          <w:rFonts w:ascii="Symbola" w:hAnsi="Symbola" w:cs="Symbola" w:eastAsia="Symbola"/>
          <w:spacing w:val="-3"/>
          <w:w w:val="110"/>
          <w:position w:val="5"/>
          <w:sz w:val="14"/>
          <w:szCs w:val="14"/>
        </w:rPr>
        <w:t>−6</w:t>
      </w:r>
      <w:r>
        <w:rPr>
          <w:rFonts w:ascii="Symbola" w:hAnsi="Symbola" w:cs="Symbola" w:eastAsia="Symbola"/>
          <w:spacing w:val="-3"/>
          <w:w w:val="110"/>
          <w:sz w:val="17"/>
          <w:szCs w:val="17"/>
        </w:rPr>
        <w:t>𝑉</w:t>
      </w:r>
      <w:r>
        <w:rPr>
          <w:rFonts w:ascii="Symbola" w:hAnsi="Symbola" w:cs="Symbola" w:eastAsia="Symbola"/>
          <w:spacing w:val="-3"/>
          <w:w w:val="110"/>
          <w:position w:val="5"/>
          <w:sz w:val="14"/>
          <w:szCs w:val="14"/>
        </w:rPr>
        <w:t>2</w:t>
      </w:r>
      <w:r>
        <w:rPr>
          <w:rFonts w:ascii="Symbola" w:hAnsi="Symbola" w:cs="Symbola" w:eastAsia="Symbola"/>
          <w:spacing w:val="-3"/>
          <w:w w:val="110"/>
          <w:position w:val="1"/>
          <w:sz w:val="17"/>
          <w:szCs w:val="17"/>
        </w:rPr>
        <w:t>)</w:t>
      </w:r>
    </w:p>
    <w:p>
      <w:pPr>
        <w:pStyle w:val="BodyText"/>
        <w:tabs>
          <w:tab w:pos="4713" w:val="left" w:leader="middleDot"/>
        </w:tabs>
        <w:spacing w:before="179"/>
        <w:ind w:left="18"/>
      </w:pPr>
      <w:r>
        <w:rPr/>
        <w:br w:type="column"/>
      </w:r>
      <w:r>
        <w:rPr/>
        <w:t>nm</w:t>
        <w:tab/>
        <w:t>(17.6)</w:t>
      </w:r>
    </w:p>
    <w:p>
      <w:pPr>
        <w:spacing w:after="0"/>
        <w:sectPr>
          <w:type w:val="continuous"/>
          <w:pgSz w:w="11910" w:h="16840"/>
          <w:pgMar w:top="1300" w:bottom="940" w:left="1500" w:right="1480"/>
          <w:cols w:num="2" w:equalWidth="0">
            <w:col w:w="2625" w:space="40"/>
            <w:col w:w="6265"/>
          </w:cols>
        </w:sectPr>
      </w:pPr>
    </w:p>
    <w:p>
      <w:pPr>
        <w:pStyle w:val="BodyText"/>
        <w:spacing w:before="11"/>
        <w:rPr>
          <w:sz w:val="21"/>
        </w:rPr>
      </w:pPr>
    </w:p>
    <w:p>
      <w:pPr>
        <w:pStyle w:val="BodyText"/>
        <w:spacing w:line="360" w:lineRule="auto" w:before="90"/>
        <w:ind w:left="300" w:right="443"/>
      </w:pPr>
      <w:r>
        <w:rPr/>
        <w:t>Let us calculate the wavelength of the electrons that are accelerated by a potential of 10 kV. Substituting the value of </w:t>
      </w:r>
      <w:r>
        <w:rPr>
          <w:i/>
        </w:rPr>
        <w:t>V </w:t>
      </w:r>
      <w:r>
        <w:rPr/>
        <w:t>(10,000 V) in equation 17.6 gives:</w:t>
      </w:r>
    </w:p>
    <w:p>
      <w:pPr>
        <w:spacing w:after="0" w:line="360" w:lineRule="auto"/>
        <w:sectPr>
          <w:type w:val="continuous"/>
          <w:pgSz w:w="11910" w:h="16840"/>
          <w:pgMar w:top="1300" w:bottom="940" w:left="1500" w:right="1480"/>
        </w:sectPr>
      </w:pPr>
    </w:p>
    <w:p>
      <w:pPr>
        <w:tabs>
          <w:tab w:pos="1675" w:val="left" w:leader="none"/>
        </w:tabs>
        <w:spacing w:line="168" w:lineRule="auto" w:before="232"/>
        <w:ind w:left="556" w:right="0" w:firstLine="0"/>
        <w:jc w:val="left"/>
        <w:rPr>
          <w:rFonts w:ascii="Symbola" w:eastAsia="Symbola"/>
          <w:sz w:val="17"/>
        </w:rPr>
      </w:pPr>
      <w:r>
        <w:rPr/>
        <w:pict>
          <v:shape style="position:absolute;margin-left:127.560005pt;margin-top:20.806576pt;width:73.95pt;height:2.65pt;mso-position-horizontal-relative:page;mso-position-vertical-relative:paragraph;z-index:-18411008" coordorigin="2551,416" coordsize="1479,53" path="m4030,457l2678,457,2678,469,4030,469,4030,457xm4030,416l2551,416,2551,433,4030,433,4030,416xe" filled="true" fillcolor="#000000" stroked="false">
            <v:path arrowok="t"/>
            <v:fill type="solid"/>
            <w10:wrap type="none"/>
          </v:shape>
        </w:pict>
      </w:r>
      <w:r>
        <w:rPr>
          <w:rFonts w:ascii="Symbola" w:eastAsia="Symbola"/>
          <w:position w:val="-13"/>
          <w:sz w:val="24"/>
        </w:rPr>
        <w:t>𝜆</w:t>
      </w:r>
      <w:r>
        <w:rPr>
          <w:rFonts w:ascii="Symbola" w:eastAsia="Symbola"/>
          <w:spacing w:val="4"/>
          <w:position w:val="-13"/>
          <w:sz w:val="24"/>
        </w:rPr>
        <w:t> </w:t>
      </w:r>
      <w:r>
        <w:rPr>
          <w:rFonts w:ascii="Symbola" w:eastAsia="Symbola"/>
          <w:position w:val="-13"/>
          <w:sz w:val="24"/>
        </w:rPr>
        <w:t>=</w:t>
        <w:tab/>
      </w:r>
      <w:r>
        <w:rPr>
          <w:rFonts w:ascii="Symbola" w:eastAsia="Symbola"/>
          <w:sz w:val="17"/>
        </w:rPr>
        <w:t>1.5</w:t>
      </w:r>
    </w:p>
    <w:p>
      <w:pPr>
        <w:spacing w:line="176" w:lineRule="exact" w:before="0"/>
        <w:ind w:left="1051" w:right="0" w:firstLine="0"/>
        <w:jc w:val="left"/>
        <w:rPr>
          <w:rFonts w:ascii="Symbola" w:hAnsi="Symbola" w:cs="Symbola" w:eastAsia="Symbola"/>
          <w:sz w:val="17"/>
          <w:szCs w:val="17"/>
        </w:rPr>
      </w:pPr>
      <w:r>
        <w:rPr>
          <w:rFonts w:ascii="Symbola" w:hAnsi="Symbola" w:cs="Symbola" w:eastAsia="Symbola"/>
          <w:spacing w:val="-3"/>
          <w:w w:val="110"/>
          <w:position w:val="1"/>
          <w:sz w:val="17"/>
          <w:szCs w:val="17"/>
        </w:rPr>
        <w:t>�(</w:t>
      </w:r>
      <w:r>
        <w:rPr>
          <w:rFonts w:ascii="Symbola" w:hAnsi="Symbola" w:cs="Symbola" w:eastAsia="Symbola"/>
          <w:spacing w:val="-3"/>
          <w:w w:val="110"/>
          <w:sz w:val="17"/>
          <w:szCs w:val="17"/>
        </w:rPr>
        <w:t>10</w:t>
      </w:r>
      <w:r>
        <w:rPr>
          <w:rFonts w:ascii="Symbola" w:hAnsi="Symbola" w:cs="Symbola" w:eastAsia="Symbola"/>
          <w:spacing w:val="-3"/>
          <w:w w:val="110"/>
          <w:position w:val="5"/>
          <w:sz w:val="14"/>
          <w:szCs w:val="14"/>
        </w:rPr>
        <w:t>4</w:t>
      </w:r>
      <w:r>
        <w:rPr>
          <w:rFonts w:ascii="Symbola" w:hAnsi="Symbola" w:cs="Symbola" w:eastAsia="Symbola"/>
          <w:spacing w:val="-3"/>
          <w:w w:val="110"/>
          <w:sz w:val="17"/>
          <w:szCs w:val="17"/>
        </w:rPr>
        <w:t>+10</w:t>
      </w:r>
      <w:r>
        <w:rPr>
          <w:rFonts w:ascii="Symbola" w:hAnsi="Symbola" w:cs="Symbola" w:eastAsia="Symbola"/>
          <w:spacing w:val="-3"/>
          <w:w w:val="110"/>
          <w:position w:val="5"/>
          <w:sz w:val="14"/>
          <w:szCs w:val="14"/>
        </w:rPr>
        <w:t>−6</w:t>
      </w:r>
      <w:r>
        <w:rPr>
          <w:rFonts w:ascii="Symbola" w:hAnsi="Symbola" w:cs="Symbola" w:eastAsia="Symbola"/>
          <w:spacing w:val="-3"/>
          <w:w w:val="110"/>
          <w:sz w:val="17"/>
          <w:szCs w:val="17"/>
        </w:rPr>
        <w:t>×10</w:t>
      </w:r>
      <w:r>
        <w:rPr>
          <w:rFonts w:ascii="Symbola" w:hAnsi="Symbola" w:cs="Symbola" w:eastAsia="Symbola"/>
          <w:spacing w:val="-3"/>
          <w:w w:val="110"/>
          <w:position w:val="5"/>
          <w:sz w:val="14"/>
          <w:szCs w:val="14"/>
        </w:rPr>
        <w:t>8</w:t>
      </w:r>
      <w:r>
        <w:rPr>
          <w:rFonts w:ascii="Symbola" w:hAnsi="Symbola" w:cs="Symbola" w:eastAsia="Symbola"/>
          <w:spacing w:val="-3"/>
          <w:w w:val="110"/>
          <w:position w:val="1"/>
          <w:sz w:val="17"/>
          <w:szCs w:val="17"/>
        </w:rPr>
        <w:t>)</w:t>
      </w:r>
    </w:p>
    <w:p>
      <w:pPr>
        <w:tabs>
          <w:tab w:pos="947" w:val="left" w:leader="none"/>
        </w:tabs>
        <w:spacing w:line="141" w:lineRule="auto" w:before="252"/>
        <w:ind w:left="18" w:right="0" w:firstLine="0"/>
        <w:jc w:val="left"/>
        <w:rPr>
          <w:rFonts w:ascii="Symbola"/>
          <w:sz w:val="17"/>
        </w:rPr>
      </w:pPr>
      <w:r>
        <w:rPr/>
        <w:br w:type="column"/>
      </w:r>
      <w:r>
        <w:rPr>
          <w:position w:val="-13"/>
          <w:sz w:val="24"/>
        </w:rPr>
        <w:t>nm =</w:t>
        <w:tab/>
      </w:r>
      <w:r>
        <w:rPr>
          <w:rFonts w:ascii="Symbola"/>
          <w:sz w:val="17"/>
        </w:rPr>
        <w:t>1.5</w:t>
      </w:r>
    </w:p>
    <w:p>
      <w:pPr>
        <w:spacing w:before="3"/>
        <w:ind w:left="580" w:right="0" w:firstLine="0"/>
        <w:jc w:val="left"/>
        <w:rPr>
          <w:rFonts w:ascii="Symbola" w:hAnsi="Symbola" w:cs="Symbola" w:eastAsia="Symbola"/>
          <w:sz w:val="17"/>
          <w:szCs w:val="17"/>
        </w:rPr>
      </w:pPr>
      <w:r>
        <w:rPr/>
        <w:pict>
          <v:shape style="position:absolute;margin-left:232.560013pt;margin-top:-2.414634pt;width:48.4pt;height:2.65pt;mso-position-horizontal-relative:page;mso-position-vertical-relative:paragraph;z-index:-18410496" coordorigin="4651,-48" coordsize="968,53" path="m5616,-48l4651,-48,4651,-31,5616,-31,5616,-48xm5618,-7l4778,-7,4778,5,5618,5,5618,-7xe" filled="true" fillcolor="#000000" stroked="false">
            <v:path arrowok="t"/>
            <v:fill type="solid"/>
            <w10:wrap type="none"/>
          </v:shape>
        </w:pict>
      </w:r>
      <w:r>
        <w:rPr>
          <w:rFonts w:ascii="Symbola" w:hAnsi="Symbola" w:cs="Symbola" w:eastAsia="Symbola"/>
          <w:spacing w:val="-4"/>
          <w:w w:val="110"/>
          <w:position w:val="1"/>
          <w:sz w:val="17"/>
          <w:szCs w:val="17"/>
        </w:rPr>
        <w:t>�(</w:t>
      </w:r>
      <w:r>
        <w:rPr>
          <w:rFonts w:ascii="Symbola" w:hAnsi="Symbola" w:cs="Symbola" w:eastAsia="Symbola"/>
          <w:spacing w:val="-4"/>
          <w:w w:val="110"/>
          <w:sz w:val="17"/>
          <w:szCs w:val="17"/>
        </w:rPr>
        <w:t>10</w:t>
      </w:r>
      <w:r>
        <w:rPr>
          <w:rFonts w:ascii="Symbola" w:hAnsi="Symbola" w:cs="Symbola" w:eastAsia="Symbola"/>
          <w:spacing w:val="-4"/>
          <w:w w:val="110"/>
          <w:position w:val="5"/>
          <w:sz w:val="14"/>
          <w:szCs w:val="14"/>
        </w:rPr>
        <w:t>4</w:t>
      </w:r>
      <w:r>
        <w:rPr>
          <w:rFonts w:ascii="Symbola" w:hAnsi="Symbola" w:cs="Symbola" w:eastAsia="Symbola"/>
          <w:spacing w:val="-4"/>
          <w:w w:val="110"/>
          <w:sz w:val="17"/>
          <w:szCs w:val="17"/>
        </w:rPr>
        <w:t>+10</w:t>
      </w:r>
      <w:r>
        <w:rPr>
          <w:rFonts w:ascii="Symbola" w:hAnsi="Symbola" w:cs="Symbola" w:eastAsia="Symbola"/>
          <w:spacing w:val="-4"/>
          <w:w w:val="110"/>
          <w:position w:val="5"/>
          <w:sz w:val="14"/>
          <w:szCs w:val="14"/>
        </w:rPr>
        <w:t>2</w:t>
      </w:r>
      <w:r>
        <w:rPr>
          <w:rFonts w:ascii="Symbola" w:hAnsi="Symbola" w:cs="Symbola" w:eastAsia="Symbola"/>
          <w:spacing w:val="-4"/>
          <w:w w:val="110"/>
          <w:position w:val="1"/>
          <w:sz w:val="17"/>
          <w:szCs w:val="17"/>
        </w:rPr>
        <w:t>)</w:t>
      </w:r>
    </w:p>
    <w:p>
      <w:pPr>
        <w:tabs>
          <w:tab w:pos="949" w:val="left" w:leader="none"/>
        </w:tabs>
        <w:spacing w:line="141" w:lineRule="auto" w:before="252"/>
        <w:ind w:left="16" w:right="0" w:firstLine="0"/>
        <w:jc w:val="left"/>
        <w:rPr>
          <w:rFonts w:ascii="Symbola"/>
          <w:sz w:val="17"/>
        </w:rPr>
      </w:pPr>
      <w:r>
        <w:rPr/>
        <w:br w:type="column"/>
      </w:r>
      <w:r>
        <w:rPr>
          <w:position w:val="-13"/>
          <w:sz w:val="24"/>
        </w:rPr>
        <w:t>nm  =</w:t>
        <w:tab/>
      </w:r>
      <w:r>
        <w:rPr>
          <w:rFonts w:ascii="Symbola"/>
          <w:sz w:val="17"/>
        </w:rPr>
        <w:t>1.5</w:t>
      </w:r>
    </w:p>
    <w:p>
      <w:pPr>
        <w:spacing w:before="15"/>
        <w:ind w:left="638" w:right="0" w:firstLine="0"/>
        <w:jc w:val="left"/>
        <w:rPr>
          <w:rFonts w:ascii="Symbola" w:hAnsi="Symbola" w:cs="Symbola" w:eastAsia="Symbola"/>
          <w:sz w:val="17"/>
          <w:szCs w:val="17"/>
        </w:rPr>
      </w:pPr>
      <w:r>
        <w:rPr/>
        <w:pict>
          <v:shape style="position:absolute;margin-left:314.880005pt;margin-top:-2.399808pt;width:43pt;height:2.65pt;mso-position-horizontal-relative:page;mso-position-vertical-relative:paragraph;z-index:-18409984" coordorigin="6298,-48" coordsize="860,53" path="m7154,-48l6298,-48,6298,-31,7154,-31,7154,-48xm7157,-7l6425,-7,6425,5,7157,5,7157,-7xe" filled="true" fillcolor="#000000" stroked="false">
            <v:path arrowok="t"/>
            <v:fill type="solid"/>
            <w10:wrap type="none"/>
          </v:shape>
        </w:pict>
      </w:r>
      <w:r>
        <w:rPr>
          <w:rFonts w:ascii="Symbola" w:hAnsi="Symbola" w:cs="Symbola" w:eastAsia="Symbola"/>
          <w:spacing w:val="-5"/>
          <w:w w:val="110"/>
          <w:sz w:val="17"/>
          <w:szCs w:val="17"/>
        </w:rPr>
        <w:t>�100</w:t>
      </w:r>
      <w:r>
        <w:rPr>
          <w:rFonts w:ascii="Symbola" w:hAnsi="Symbola" w:cs="Symbola" w:eastAsia="Symbola"/>
          <w:spacing w:val="-5"/>
          <w:w w:val="110"/>
          <w:position w:val="1"/>
          <w:sz w:val="17"/>
          <w:szCs w:val="17"/>
        </w:rPr>
        <w:t>(</w:t>
      </w:r>
      <w:r>
        <w:rPr>
          <w:rFonts w:ascii="Symbola" w:hAnsi="Symbola" w:cs="Symbola" w:eastAsia="Symbola"/>
          <w:spacing w:val="-5"/>
          <w:w w:val="110"/>
          <w:sz w:val="17"/>
          <w:szCs w:val="17"/>
        </w:rPr>
        <w:t>101</w:t>
      </w:r>
      <w:r>
        <w:rPr>
          <w:rFonts w:ascii="Symbola" w:hAnsi="Symbola" w:cs="Symbola" w:eastAsia="Symbola"/>
          <w:spacing w:val="-5"/>
          <w:w w:val="110"/>
          <w:position w:val="1"/>
          <w:sz w:val="17"/>
          <w:szCs w:val="17"/>
        </w:rPr>
        <w:t>)</w:t>
      </w:r>
    </w:p>
    <w:p>
      <w:pPr>
        <w:pStyle w:val="BodyText"/>
        <w:spacing w:before="8"/>
        <w:rPr>
          <w:rFonts w:ascii="Symbola"/>
          <w:sz w:val="26"/>
        </w:rPr>
      </w:pPr>
      <w:r>
        <w:rPr/>
        <w:br w:type="column"/>
      </w:r>
      <w:r>
        <w:rPr>
          <w:rFonts w:ascii="Symbola"/>
          <w:sz w:val="26"/>
        </w:rPr>
      </w:r>
    </w:p>
    <w:p>
      <w:pPr>
        <w:pStyle w:val="BodyText"/>
        <w:ind w:left="19"/>
      </w:pPr>
      <w:r>
        <w:rPr/>
        <w:t>nm = 0.0149 nm = 14.9 pm</w:t>
      </w:r>
    </w:p>
    <w:p>
      <w:pPr>
        <w:spacing w:after="0"/>
        <w:sectPr>
          <w:type w:val="continuous"/>
          <w:pgSz w:w="11910" w:h="16840"/>
          <w:pgMar w:top="1300" w:bottom="940" w:left="1500" w:right="1480"/>
          <w:cols w:num="4" w:equalWidth="0">
            <w:col w:w="2531" w:space="40"/>
            <w:col w:w="1549" w:space="39"/>
            <w:col w:w="1496" w:space="40"/>
            <w:col w:w="3235"/>
          </w:cols>
        </w:sectPr>
      </w:pPr>
    </w:p>
    <w:p>
      <w:pPr>
        <w:pStyle w:val="BodyText"/>
        <w:spacing w:before="10"/>
        <w:rPr>
          <w:sz w:val="21"/>
        </w:rPr>
      </w:pPr>
    </w:p>
    <w:p>
      <w:pPr>
        <w:pStyle w:val="BodyText"/>
        <w:spacing w:line="360" w:lineRule="auto" w:before="90"/>
        <w:ind w:left="300" w:right="318"/>
        <w:jc w:val="both"/>
      </w:pPr>
      <w:r>
        <w:rPr/>
        <w:t>The wavelength of the electrons accelerated under 10 kV potential is therefore smaller than all the atoms. In practice, acceleration voltages up to 1000 kV are used in analytical electron microscopes therefore achieving the wavelengths below 1 pm.</w:t>
      </w:r>
    </w:p>
    <w:p>
      <w:pPr>
        <w:spacing w:after="0" w:line="360" w:lineRule="auto"/>
        <w:jc w:val="both"/>
        <w:sectPr>
          <w:type w:val="continuous"/>
          <w:pgSz w:w="11910" w:h="16840"/>
          <w:pgMar w:top="1300" w:bottom="940" w:left="1500" w:right="1480"/>
        </w:sectPr>
      </w:pPr>
    </w:p>
    <w:p>
      <w:pPr>
        <w:pStyle w:val="Heading4"/>
        <w:spacing w:before="124"/>
        <w:jc w:val="left"/>
      </w:pPr>
      <w:r>
        <w:rPr/>
        <w:t>Resolution</w:t>
      </w:r>
    </w:p>
    <w:p>
      <w:pPr>
        <w:pStyle w:val="BodyText"/>
        <w:rPr>
          <w:b/>
          <w:sz w:val="29"/>
        </w:rPr>
      </w:pPr>
    </w:p>
    <w:p>
      <w:pPr>
        <w:pStyle w:val="BodyText"/>
        <w:ind w:left="300"/>
        <w:jc w:val="both"/>
      </w:pPr>
      <w:r>
        <w:rPr/>
        <w:t>Unlike light microscopy, electron microscopy demands very high vacuum (Pressure</w:t>
      </w:r>
    </w:p>
    <w:p>
      <w:pPr>
        <w:pStyle w:val="BodyText"/>
        <w:spacing w:line="360" w:lineRule="auto" w:before="137"/>
        <w:ind w:left="299" w:right="315"/>
        <w:jc w:val="both"/>
      </w:pPr>
      <w:r>
        <w:rPr/>
        <w:t>~10</w:t>
      </w:r>
      <w:r>
        <w:rPr>
          <w:vertAlign w:val="superscript"/>
        </w:rPr>
        <w:t>-5</w:t>
      </w:r>
      <w:r>
        <w:rPr>
          <w:vertAlign w:val="baseline"/>
        </w:rPr>
        <w:t> Pa or less). This is due to very high scattering of electrons by the molecules present in the air. An electron microscope may require a mean free path of ~1-2 m, therefore a very high vacuum. In electron microscope, magnetic fields act as the lenses to focus the electron beams. The electrons therefore do not experience any significant change in refractive index as they pass through the lenses. Under high vacuum, the refractive index in an electron microscope therefore can be assumed to be unity (</w:t>
      </w:r>
      <w:r>
        <w:rPr>
          <w:i/>
          <w:vertAlign w:val="baseline"/>
        </w:rPr>
        <w:t>n </w:t>
      </w:r>
      <w:r>
        <w:rPr>
          <w:vertAlign w:val="baseline"/>
        </w:rPr>
        <w:t>≈ 1). Furthermore, the electrons are deflected by very small angles, therefore, </w:t>
      </w:r>
      <w:r>
        <w:rPr>
          <w:i/>
          <w:vertAlign w:val="baseline"/>
        </w:rPr>
        <w:t>sinα </w:t>
      </w:r>
      <w:r>
        <w:rPr>
          <w:vertAlign w:val="baseline"/>
        </w:rPr>
        <w:t>≈ </w:t>
      </w:r>
      <w:r>
        <w:rPr>
          <w:i/>
          <w:vertAlign w:val="baseline"/>
        </w:rPr>
        <w:t>α</w:t>
      </w:r>
      <w:r>
        <w:rPr>
          <w:vertAlign w:val="baseline"/>
        </w:rPr>
        <w:t>. The equation for resolution (equation 14.1) therefore gets reduced</w:t>
      </w:r>
      <w:r>
        <w:rPr>
          <w:spacing w:val="-8"/>
          <w:vertAlign w:val="baseline"/>
        </w:rPr>
        <w:t> </w:t>
      </w:r>
      <w:r>
        <w:rPr>
          <w:vertAlign w:val="baseline"/>
        </w:rPr>
        <w:t>to:</w:t>
      </w:r>
    </w:p>
    <w:p>
      <w:pPr>
        <w:spacing w:after="0" w:line="360" w:lineRule="auto"/>
        <w:jc w:val="both"/>
        <w:sectPr>
          <w:pgSz w:w="11910" w:h="16840"/>
          <w:pgMar w:header="722" w:footer="748" w:top="1300" w:bottom="940" w:left="1500" w:right="1480"/>
        </w:sectPr>
      </w:pPr>
    </w:p>
    <w:p>
      <w:pPr>
        <w:spacing w:before="228"/>
        <w:ind w:left="1020" w:right="0" w:firstLine="0"/>
        <w:jc w:val="left"/>
        <w:rPr>
          <w:rFonts w:ascii="Symbola" w:eastAsia="Symbola"/>
          <w:sz w:val="17"/>
        </w:rPr>
      </w:pPr>
      <w:r>
        <w:rPr/>
        <w:pict>
          <v:rect style="position:absolute;margin-left:168.360001pt;margin-top:21.304539pt;width:23.52pt;height:.841pt;mso-position-horizontal-relative:page;mso-position-vertical-relative:paragraph;z-index:-18408960" filled="true" fillcolor="#000000" stroked="false">
            <v:fill type="solid"/>
            <w10:wrap type="none"/>
          </v:rect>
        </w:pict>
      </w:r>
      <w:r>
        <w:rPr/>
        <w:pict>
          <v:shape style="position:absolute;margin-left:177.110046pt;margin-top:23.048075pt;width:5.7pt;height:10pt;mso-position-horizontal-relative:page;mso-position-vertical-relative:paragraph;z-index:-18408448" type="#_x0000_t202" filled="false" stroked="false">
            <v:textbox inset="0,0,0,0">
              <w:txbxContent>
                <w:p>
                  <w:pPr>
                    <w:spacing w:before="28"/>
                    <w:ind w:left="0" w:right="0" w:firstLine="0"/>
                    <w:jc w:val="left"/>
                    <w:rPr>
                      <w:rFonts w:ascii="Symbola" w:eastAsia="Symbola"/>
                      <w:sz w:val="17"/>
                    </w:rPr>
                  </w:pPr>
                  <w:r>
                    <w:rPr>
                      <w:rFonts w:ascii="Symbola" w:eastAsia="Symbola"/>
                      <w:w w:val="115"/>
                      <w:sz w:val="17"/>
                    </w:rPr>
                    <w:t>𝛼</w:t>
                  </w:r>
                </w:p>
              </w:txbxContent>
            </v:textbox>
            <w10:wrap type="none"/>
          </v:shape>
        </w:pict>
      </w:r>
      <w:r>
        <w:rPr>
          <w:rFonts w:ascii="Symbola" w:eastAsia="Symbola"/>
          <w:w w:val="110"/>
          <w:position w:val="-13"/>
          <w:sz w:val="24"/>
        </w:rPr>
        <w:t>𝑑</w:t>
      </w:r>
      <w:r>
        <w:rPr>
          <w:rFonts w:ascii="Symbola" w:eastAsia="Symbola"/>
          <w:w w:val="110"/>
          <w:position w:val="-18"/>
          <w:sz w:val="17"/>
        </w:rPr>
        <w:t>𝑚𝑖𝑛 </w:t>
      </w:r>
      <w:r>
        <w:rPr>
          <w:rFonts w:ascii="Symbola" w:eastAsia="Symbola"/>
          <w:w w:val="110"/>
          <w:position w:val="-13"/>
          <w:sz w:val="24"/>
        </w:rPr>
        <w:t>= </w:t>
      </w:r>
      <w:r>
        <w:rPr>
          <w:rFonts w:ascii="Symbola" w:eastAsia="Symbola"/>
          <w:w w:val="110"/>
          <w:sz w:val="17"/>
        </w:rPr>
        <w:t>0.61 </w:t>
      </w:r>
      <w:r>
        <w:rPr>
          <w:rFonts w:ascii="Symbola" w:eastAsia="Symbola"/>
          <w:spacing w:val="-125"/>
          <w:w w:val="110"/>
          <w:sz w:val="17"/>
        </w:rPr>
        <w:t>𝜆</w:t>
      </w:r>
    </w:p>
    <w:p>
      <w:pPr>
        <w:pStyle w:val="BodyText"/>
        <w:spacing w:before="9"/>
        <w:rPr>
          <w:rFonts w:ascii="Symbola"/>
          <w:sz w:val="27"/>
        </w:rPr>
      </w:pPr>
      <w:r>
        <w:rPr/>
        <w:br w:type="column"/>
      </w:r>
      <w:r>
        <w:rPr>
          <w:rFonts w:ascii="Symbola"/>
          <w:sz w:val="27"/>
        </w:rPr>
      </w:r>
    </w:p>
    <w:p>
      <w:pPr>
        <w:pStyle w:val="BodyText"/>
        <w:ind w:left="1076" w:right="1438"/>
        <w:jc w:val="center"/>
      </w:pPr>
      <w:r>
        <w:rPr/>
        <w:t>························································ (14.2)</w:t>
      </w:r>
    </w:p>
    <w:p>
      <w:pPr>
        <w:spacing w:after="0"/>
        <w:jc w:val="center"/>
        <w:sectPr>
          <w:type w:val="continuous"/>
          <w:pgSz w:w="11910" w:h="16840"/>
          <w:pgMar w:top="1300" w:bottom="940" w:left="1500" w:right="1480"/>
          <w:cols w:num="2" w:equalWidth="0">
            <w:col w:w="2336" w:space="40"/>
            <w:col w:w="6554"/>
          </w:cols>
        </w:sectPr>
      </w:pPr>
    </w:p>
    <w:p>
      <w:pPr>
        <w:pStyle w:val="BodyText"/>
        <w:spacing w:before="6"/>
      </w:pPr>
    </w:p>
    <w:p>
      <w:pPr>
        <w:pStyle w:val="BodyText"/>
        <w:spacing w:line="360" w:lineRule="auto" w:before="90"/>
        <w:ind w:left="299" w:right="315"/>
        <w:jc w:val="both"/>
      </w:pPr>
      <w:r>
        <w:rPr/>
        <w:t>Assuming α = 5 degrees (0.1 radian), the theoretical resolution of an electron microscope operating at a reasonable accelerating voltage of 100 kV (</w:t>
      </w:r>
      <w:r>
        <w:rPr>
          <w:i/>
        </w:rPr>
        <w:t>λ </w:t>
      </w:r>
      <w:r>
        <w:rPr/>
        <w:t>= 3.7 pm; try calculating yourself using equation 17.6) turns out to be 2.26 pm. An electron microscope should therefore be able to resolve all the atoms. In practice, however, resolutions better than 0.2 nm are rarely achieved largely due to the lens aberrations.</w:t>
      </w:r>
    </w:p>
    <w:p>
      <w:pPr>
        <w:pStyle w:val="Heading4"/>
        <w:spacing w:before="206"/>
      </w:pPr>
      <w:r>
        <w:rPr/>
        <w:t>Electron sources and lenses</w:t>
      </w:r>
    </w:p>
    <w:p>
      <w:pPr>
        <w:pStyle w:val="BodyText"/>
        <w:rPr>
          <w:b/>
          <w:sz w:val="29"/>
        </w:rPr>
      </w:pPr>
    </w:p>
    <w:p>
      <w:pPr>
        <w:pStyle w:val="BodyText"/>
        <w:spacing w:line="360" w:lineRule="auto"/>
        <w:ind w:left="300" w:right="314"/>
        <w:jc w:val="both"/>
      </w:pPr>
      <w:r>
        <w:rPr/>
        <w:t>Of the various methods of generating electrons, two are more frequently used in the electron guns used for electron microscopy: </w:t>
      </w:r>
      <w:r>
        <w:rPr>
          <w:i/>
        </w:rPr>
        <w:t>thermionic electron emission </w:t>
      </w:r>
      <w:r>
        <w:rPr/>
        <w:t>and </w:t>
      </w:r>
      <w:r>
        <w:rPr>
          <w:i/>
        </w:rPr>
        <w:t>field </w:t>
      </w:r>
      <w:r>
        <w:rPr>
          <w:i/>
        </w:rPr>
        <w:t>emission</w:t>
      </w:r>
      <w:r>
        <w:rPr/>
        <w:t>. Most electron microscopes use thermionic emission of electrons from a heated filament. Being one of the cheapest and simplest thermionic sources, tungsten is most widely used in thermionic electron guns. Figure 17.1A shows a diagrammatic representation of a tungsten filament electron gun. The filament is placed in a cylindrical case called a Wehnelt cylinder or Wehnelt cap. Wehnelt cap has an aperture and the filament is situated immediately above the aperture. Below the Wehnelt cap lays an anode that causes the emitted electron to accelerate. A negative potential is applied to the Wehnelt cap that focuses the electrons emitted by the filament into a narrow beam. An electron gun therefore acts both as an electron source as well as a lens. The brightness of the electron beam is defined as the current density per unit solid angle. Tungsten filament provides a brightness of ~10</w:t>
      </w:r>
      <w:r>
        <w:rPr>
          <w:vertAlign w:val="superscript"/>
        </w:rPr>
        <w:t>9</w:t>
      </w:r>
      <w:r>
        <w:rPr>
          <w:vertAlign w:val="baseline"/>
        </w:rPr>
        <w:t> A·m</w:t>
      </w:r>
      <w:r>
        <w:rPr>
          <w:vertAlign w:val="superscript"/>
        </w:rPr>
        <w:t>-2</w:t>
      </w:r>
      <w:r>
        <w:rPr>
          <w:vertAlign w:val="baseline"/>
        </w:rPr>
        <w:t>·sr</w:t>
      </w:r>
      <w:r>
        <w:rPr>
          <w:vertAlign w:val="superscript"/>
        </w:rPr>
        <w:t>-1</w:t>
      </w:r>
      <w:r>
        <w:rPr>
          <w:vertAlign w:val="baseline"/>
        </w:rPr>
        <w:t>.</w:t>
      </w:r>
    </w:p>
    <w:p>
      <w:pPr>
        <w:spacing w:after="0" w:line="360" w:lineRule="auto"/>
        <w:jc w:val="both"/>
        <w:sectPr>
          <w:type w:val="continuous"/>
          <w:pgSz w:w="11910" w:h="16840"/>
          <w:pgMar w:top="1300" w:bottom="940" w:left="1500" w:right="1480"/>
        </w:sectPr>
      </w:pPr>
    </w:p>
    <w:p>
      <w:pPr>
        <w:pStyle w:val="BodyText"/>
        <w:spacing w:line="360" w:lineRule="auto" w:before="119"/>
        <w:ind w:left="300" w:right="317"/>
        <w:jc w:val="both"/>
      </w:pPr>
      <w:r>
        <w:rPr/>
        <w:t>Further ten-fold increase in brightness can be achieved using lanthanum hexaboride (LaB</w:t>
      </w:r>
      <w:r>
        <w:rPr>
          <w:vertAlign w:val="subscript"/>
        </w:rPr>
        <w:t>6</w:t>
      </w:r>
      <w:r>
        <w:rPr>
          <w:vertAlign w:val="baseline"/>
        </w:rPr>
        <w:t>) instead of tungsten filament.</w:t>
      </w:r>
    </w:p>
    <w:p>
      <w:pPr>
        <w:pStyle w:val="BodyText"/>
        <w:spacing w:before="4"/>
        <w:rPr>
          <w:sz w:val="15"/>
        </w:rPr>
      </w:pPr>
      <w:r>
        <w:rPr/>
        <w:drawing>
          <wp:anchor distT="0" distB="0" distL="0" distR="0" allowOverlap="1" layoutInCell="1" locked="0" behindDoc="0" simplePos="0" relativeHeight="256">
            <wp:simplePos x="0" y="0"/>
            <wp:positionH relativeFrom="page">
              <wp:posOffset>1367857</wp:posOffset>
            </wp:positionH>
            <wp:positionV relativeFrom="paragraph">
              <wp:posOffset>137254</wp:posOffset>
            </wp:positionV>
            <wp:extent cx="5026058" cy="2824733"/>
            <wp:effectExtent l="0" t="0" r="0" b="0"/>
            <wp:wrapTopAndBottom/>
            <wp:docPr id="213" name="image111.jpeg"/>
            <wp:cNvGraphicFramePr>
              <a:graphicFrameLocks noChangeAspect="1"/>
            </wp:cNvGraphicFramePr>
            <a:graphic>
              <a:graphicData uri="http://schemas.openxmlformats.org/drawingml/2006/picture">
                <pic:pic>
                  <pic:nvPicPr>
                    <pic:cNvPr id="214" name="image111.jpeg"/>
                    <pic:cNvPicPr/>
                  </pic:nvPicPr>
                  <pic:blipFill>
                    <a:blip r:embed="rId121" cstate="print"/>
                    <a:stretch>
                      <a:fillRect/>
                    </a:stretch>
                  </pic:blipFill>
                  <pic:spPr>
                    <a:xfrm>
                      <a:off x="0" y="0"/>
                      <a:ext cx="5026058" cy="2824733"/>
                    </a:xfrm>
                    <a:prstGeom prst="rect">
                      <a:avLst/>
                    </a:prstGeom>
                  </pic:spPr>
                </pic:pic>
              </a:graphicData>
            </a:graphic>
          </wp:anchor>
        </w:drawing>
      </w:r>
    </w:p>
    <w:p>
      <w:pPr>
        <w:pStyle w:val="BodyText"/>
        <w:spacing w:before="9"/>
        <w:rPr>
          <w:sz w:val="25"/>
        </w:rPr>
      </w:pPr>
    </w:p>
    <w:p>
      <w:pPr>
        <w:spacing w:before="0"/>
        <w:ind w:left="1056" w:right="0" w:firstLine="0"/>
        <w:jc w:val="both"/>
        <w:rPr>
          <w:b/>
          <w:sz w:val="16"/>
        </w:rPr>
      </w:pPr>
      <w:r>
        <w:rPr>
          <w:b/>
          <w:sz w:val="16"/>
        </w:rPr>
        <w:t>Figure 17.1 Electron guns: A tungsten filament Wehnelt thermionic gun (A) and field emission gun (B)</w:t>
      </w:r>
    </w:p>
    <w:p>
      <w:pPr>
        <w:pStyle w:val="BodyText"/>
        <w:spacing w:before="10"/>
        <w:rPr>
          <w:b/>
        </w:rPr>
      </w:pPr>
    </w:p>
    <w:p>
      <w:pPr>
        <w:pStyle w:val="BodyText"/>
        <w:spacing w:line="360" w:lineRule="auto"/>
        <w:ind w:left="300" w:right="315"/>
        <w:jc w:val="both"/>
      </w:pPr>
      <w:r>
        <w:rPr/>
        <w:t>For further higher brightness, another electron source called a field emission gun is used. A field emission gun typically uses a single crystal tungsten filament that has a very fine tip (Figure 17.1B). The electrons are not ejected by heating the filament but by applying a very strong electric field called an extraction voltage. The field at the pointed tip is very large (&gt;10</w:t>
      </w:r>
      <w:r>
        <w:rPr>
          <w:vertAlign w:val="superscript"/>
        </w:rPr>
        <w:t>9</w:t>
      </w:r>
      <w:r>
        <w:rPr>
          <w:vertAlign w:val="baseline"/>
        </w:rPr>
        <w:t> V/m) and results in electron emission through </w:t>
      </w:r>
      <w:r>
        <w:rPr>
          <w:i/>
          <w:vertAlign w:val="baseline"/>
        </w:rPr>
        <w:t>tunneling</w:t>
      </w:r>
      <w:r>
        <w:rPr>
          <w:vertAlign w:val="baseline"/>
        </w:rPr>
        <w:t>. As more number of electrons can be emitted compared to field thermionic emission, field emission guns have very high brightness (&gt;10</w:t>
      </w:r>
      <w:r>
        <w:rPr>
          <w:vertAlign w:val="superscript"/>
        </w:rPr>
        <w:t>13</w:t>
      </w:r>
      <w:r>
        <w:rPr>
          <w:spacing w:val="-10"/>
          <w:vertAlign w:val="baseline"/>
        </w:rPr>
        <w:t> </w:t>
      </w:r>
      <w:r>
        <w:rPr>
          <w:spacing w:val="2"/>
          <w:vertAlign w:val="baseline"/>
        </w:rPr>
        <w:t>A·m</w:t>
      </w:r>
      <w:r>
        <w:rPr>
          <w:spacing w:val="2"/>
          <w:vertAlign w:val="superscript"/>
        </w:rPr>
        <w:t>-2</w:t>
      </w:r>
      <w:r>
        <w:rPr>
          <w:spacing w:val="2"/>
          <w:vertAlign w:val="baseline"/>
        </w:rPr>
        <w:t>·sr</w:t>
      </w:r>
      <w:r>
        <w:rPr>
          <w:spacing w:val="2"/>
          <w:vertAlign w:val="superscript"/>
        </w:rPr>
        <w:t>-1</w:t>
      </w:r>
      <w:r>
        <w:rPr>
          <w:spacing w:val="2"/>
          <w:vertAlign w:val="baseline"/>
        </w:rPr>
        <w:t>).</w:t>
      </w:r>
    </w:p>
    <w:p>
      <w:pPr>
        <w:pStyle w:val="Heading4"/>
        <w:spacing w:before="206"/>
        <w:ind w:left="299"/>
      </w:pPr>
      <w:r>
        <w:rPr/>
        <w:t>Lenses for electrons</w:t>
      </w:r>
    </w:p>
    <w:p>
      <w:pPr>
        <w:pStyle w:val="BodyText"/>
        <w:rPr>
          <w:b/>
          <w:sz w:val="29"/>
        </w:rPr>
      </w:pPr>
    </w:p>
    <w:p>
      <w:pPr>
        <w:pStyle w:val="BodyText"/>
        <w:spacing w:line="360" w:lineRule="auto"/>
        <w:ind w:left="299" w:right="317"/>
        <w:jc w:val="both"/>
      </w:pPr>
      <w:r>
        <w:rPr/>
        <w:t>The lenses that focus the electron beam constitute the heart of an electron microscope. While studying mass spectrometry (Lecture 11), we learnt how electric and magnetic field can bend the moving charged particles. The lenses and condensers that are used in electron microscopes are electromagnets. Let us see how a magnetic field acts as a lens in focusing the electrons. A typical electromagnetic lens is shown in figure 17.2. The deflection experienced by a charged particle in a magnetic field is given by the Lorentz force law (discussed in lecture 11):</w:t>
      </w:r>
    </w:p>
    <w:p>
      <w:pPr>
        <w:pStyle w:val="BodyText"/>
        <w:tabs>
          <w:tab w:pos="7499" w:val="left" w:leader="none"/>
        </w:tabs>
        <w:spacing w:before="203"/>
        <w:ind w:left="1019"/>
        <w:jc w:val="both"/>
      </w:pPr>
      <w:r>
        <w:rPr>
          <w:rFonts w:ascii="Symbola" w:hAnsi="Symbola" w:eastAsia="Symbola"/>
          <w:w w:val="105"/>
        </w:rPr>
        <w:t>𝐹 = 𝑞 (𝑣  ×</w:t>
      </w:r>
      <w:r>
        <w:rPr>
          <w:rFonts w:ascii="Symbola" w:hAnsi="Symbola" w:eastAsia="Symbola"/>
          <w:spacing w:val="-12"/>
          <w:w w:val="105"/>
        </w:rPr>
        <w:t> </w:t>
      </w:r>
      <w:r>
        <w:rPr>
          <w:rFonts w:ascii="Symbola" w:hAnsi="Symbola" w:eastAsia="Symbola"/>
          <w:spacing w:val="2"/>
          <w:w w:val="105"/>
        </w:rPr>
        <w:t>𝐵)       </w:t>
      </w:r>
      <w:r>
        <w:rPr>
          <w:rFonts w:ascii="Symbola" w:hAnsi="Symbola" w:eastAsia="Symbola"/>
          <w:spacing w:val="33"/>
          <w:w w:val="105"/>
        </w:rPr>
        <w:t> </w:t>
      </w:r>
      <w:r>
        <w:rPr>
          <w:spacing w:val="9"/>
          <w:w w:val="105"/>
        </w:rPr>
        <w:t>···················································</w:t>
        <w:tab/>
      </w:r>
      <w:r>
        <w:rPr>
          <w:w w:val="105"/>
        </w:rPr>
        <w:t>(11.4)</w:t>
      </w:r>
    </w:p>
    <w:p>
      <w:pPr>
        <w:spacing w:after="0"/>
        <w:jc w:val="both"/>
        <w:sectPr>
          <w:pgSz w:w="11910" w:h="16840"/>
          <w:pgMar w:header="722" w:footer="748" w:top="1300" w:bottom="940" w:left="1500" w:right="1480"/>
        </w:sectPr>
      </w:pPr>
    </w:p>
    <w:p>
      <w:pPr>
        <w:pStyle w:val="BodyText"/>
        <w:spacing w:line="360" w:lineRule="auto" w:before="119"/>
        <w:ind w:left="299" w:right="315"/>
        <w:jc w:val="both"/>
      </w:pPr>
      <w:r>
        <w:rPr/>
        <w:t>The magnetic field is largely, but not completely, parallel to the direction of the electron motion. The magnetic field in an electromagnetic lens can be resolved into radial and axial components as shown in figure 17.2B. An electron entering the lens does not experience the axial component but gets deflected by the radial component  of the magnetic field. This deflection imparts a radial velocity component to the electron that takes a spiral path while going down the lens. The radial component of the electron causes the electron to respond to the axial component of the magnetic field; the force thus experienced decreases the radius of the spiral as shown in figure 17.2C and thereby resulting in a focused electron</w:t>
      </w:r>
      <w:r>
        <w:rPr>
          <w:spacing w:val="-6"/>
        </w:rPr>
        <w:t> </w:t>
      </w:r>
      <w:r>
        <w:rPr/>
        <w:t>beam.</w:t>
      </w:r>
    </w:p>
    <w:p>
      <w:pPr>
        <w:pStyle w:val="BodyText"/>
        <w:spacing w:before="3"/>
        <w:rPr>
          <w:sz w:val="17"/>
        </w:rPr>
      </w:pPr>
      <w:r>
        <w:rPr/>
        <w:drawing>
          <wp:anchor distT="0" distB="0" distL="0" distR="0" allowOverlap="1" layoutInCell="1" locked="0" behindDoc="0" simplePos="0" relativeHeight="257">
            <wp:simplePos x="0" y="0"/>
            <wp:positionH relativeFrom="page">
              <wp:posOffset>1332340</wp:posOffset>
            </wp:positionH>
            <wp:positionV relativeFrom="paragraph">
              <wp:posOffset>151148</wp:posOffset>
            </wp:positionV>
            <wp:extent cx="5157084" cy="1944624"/>
            <wp:effectExtent l="0" t="0" r="0" b="0"/>
            <wp:wrapTopAndBottom/>
            <wp:docPr id="215" name="image112.jpeg" descr="Figure 17.2.TIF"/>
            <wp:cNvGraphicFramePr>
              <a:graphicFrameLocks noChangeAspect="1"/>
            </wp:cNvGraphicFramePr>
            <a:graphic>
              <a:graphicData uri="http://schemas.openxmlformats.org/drawingml/2006/picture">
                <pic:pic>
                  <pic:nvPicPr>
                    <pic:cNvPr id="216" name="image112.jpeg"/>
                    <pic:cNvPicPr/>
                  </pic:nvPicPr>
                  <pic:blipFill>
                    <a:blip r:embed="rId122" cstate="print"/>
                    <a:stretch>
                      <a:fillRect/>
                    </a:stretch>
                  </pic:blipFill>
                  <pic:spPr>
                    <a:xfrm>
                      <a:off x="0" y="0"/>
                      <a:ext cx="5157084" cy="1944624"/>
                    </a:xfrm>
                    <a:prstGeom prst="rect">
                      <a:avLst/>
                    </a:prstGeom>
                  </pic:spPr>
                </pic:pic>
              </a:graphicData>
            </a:graphic>
          </wp:anchor>
        </w:drawing>
      </w:r>
    </w:p>
    <w:p>
      <w:pPr>
        <w:pStyle w:val="BodyText"/>
        <w:spacing w:before="3"/>
        <w:rPr>
          <w:sz w:val="27"/>
        </w:rPr>
      </w:pPr>
    </w:p>
    <w:p>
      <w:pPr>
        <w:spacing w:line="362" w:lineRule="auto" w:before="0"/>
        <w:ind w:left="496" w:right="443" w:firstLine="0"/>
        <w:jc w:val="left"/>
        <w:rPr>
          <w:b/>
          <w:sz w:val="16"/>
        </w:rPr>
      </w:pPr>
      <w:r>
        <w:rPr>
          <w:b/>
          <w:sz w:val="16"/>
        </w:rPr>
        <w:t>Figure 17.2 An electromagnetic lens and the magnetic field direction (A), the axial and radial components of the magnetic field in the lens (B), and the trajectory an electron takes while passing through the lens (C)</w:t>
      </w:r>
    </w:p>
    <w:p>
      <w:pPr>
        <w:spacing w:after="0" w:line="362" w:lineRule="auto"/>
        <w:jc w:val="left"/>
        <w:rPr>
          <w:sz w:val="16"/>
        </w:rPr>
        <w:sectPr>
          <w:pgSz w:w="11910" w:h="16840"/>
          <w:pgMar w:header="722" w:footer="748" w:top="1300" w:bottom="940" w:left="1500" w:right="1480"/>
        </w:sectPr>
      </w:pPr>
    </w:p>
    <w:p>
      <w:pPr>
        <w:pStyle w:val="Heading4"/>
        <w:spacing w:before="124"/>
        <w:jc w:val="left"/>
      </w:pPr>
      <w:r>
        <w:rPr/>
        <w:t>Apertures</w:t>
      </w:r>
    </w:p>
    <w:p>
      <w:pPr>
        <w:pStyle w:val="BodyText"/>
        <w:rPr>
          <w:b/>
          <w:sz w:val="29"/>
        </w:rPr>
      </w:pPr>
    </w:p>
    <w:p>
      <w:pPr>
        <w:pStyle w:val="BodyText"/>
        <w:spacing w:line="360" w:lineRule="auto"/>
        <w:ind w:left="299" w:right="316"/>
        <w:jc w:val="both"/>
      </w:pPr>
      <w:r>
        <w:rPr/>
        <w:t>Apertures are used to reject the off-axis and off-energy electrons going down the EM column. Aperture is determined by a thin metal strip, called the aperture strip that contains holes of different sizes. The strip is placed in an aperture holder shown in figure 17.3.</w:t>
      </w:r>
    </w:p>
    <w:p>
      <w:pPr>
        <w:pStyle w:val="BodyText"/>
        <w:spacing w:before="10"/>
        <w:rPr>
          <w:sz w:val="18"/>
        </w:rPr>
      </w:pPr>
      <w:r>
        <w:rPr/>
        <w:drawing>
          <wp:anchor distT="0" distB="0" distL="0" distR="0" allowOverlap="1" layoutInCell="1" locked="0" behindDoc="0" simplePos="0" relativeHeight="258">
            <wp:simplePos x="0" y="0"/>
            <wp:positionH relativeFrom="page">
              <wp:posOffset>1444929</wp:posOffset>
            </wp:positionH>
            <wp:positionV relativeFrom="paragraph">
              <wp:posOffset>163120</wp:posOffset>
            </wp:positionV>
            <wp:extent cx="4796869" cy="2097024"/>
            <wp:effectExtent l="0" t="0" r="0" b="0"/>
            <wp:wrapTopAndBottom/>
            <wp:docPr id="217" name="image113.png" descr="Figure 17.3.tif"/>
            <wp:cNvGraphicFramePr>
              <a:graphicFrameLocks noChangeAspect="1"/>
            </wp:cNvGraphicFramePr>
            <a:graphic>
              <a:graphicData uri="http://schemas.openxmlformats.org/drawingml/2006/picture">
                <pic:pic>
                  <pic:nvPicPr>
                    <pic:cNvPr id="218" name="image113.png"/>
                    <pic:cNvPicPr/>
                  </pic:nvPicPr>
                  <pic:blipFill>
                    <a:blip r:embed="rId123" cstate="print"/>
                    <a:stretch>
                      <a:fillRect/>
                    </a:stretch>
                  </pic:blipFill>
                  <pic:spPr>
                    <a:xfrm>
                      <a:off x="0" y="0"/>
                      <a:ext cx="4796869" cy="2097024"/>
                    </a:xfrm>
                    <a:prstGeom prst="rect">
                      <a:avLst/>
                    </a:prstGeom>
                  </pic:spPr>
                </pic:pic>
              </a:graphicData>
            </a:graphic>
          </wp:anchor>
        </w:drawing>
      </w:r>
    </w:p>
    <w:p>
      <w:pPr>
        <w:spacing w:before="159"/>
        <w:ind w:left="795" w:right="617" w:firstLine="0"/>
        <w:jc w:val="center"/>
        <w:rPr>
          <w:b/>
          <w:sz w:val="16"/>
        </w:rPr>
      </w:pPr>
      <w:r>
        <w:rPr>
          <w:b/>
          <w:sz w:val="16"/>
        </w:rPr>
        <w:t>Figure 17.3 Diagram of an aperture holder and an aperture strip</w:t>
      </w:r>
    </w:p>
    <w:p>
      <w:pPr>
        <w:pStyle w:val="BodyText"/>
        <w:spacing w:before="3"/>
        <w:rPr>
          <w:b/>
          <w:sz w:val="25"/>
        </w:rPr>
      </w:pPr>
    </w:p>
    <w:p>
      <w:pPr>
        <w:pStyle w:val="Heading4"/>
        <w:jc w:val="left"/>
      </w:pPr>
      <w:r>
        <w:rPr/>
        <w:t>Scattering of electrons</w:t>
      </w:r>
    </w:p>
    <w:p>
      <w:pPr>
        <w:pStyle w:val="BodyText"/>
        <w:rPr>
          <w:b/>
          <w:sz w:val="29"/>
        </w:rPr>
      </w:pPr>
    </w:p>
    <w:p>
      <w:pPr>
        <w:pStyle w:val="BodyText"/>
        <w:spacing w:line="360" w:lineRule="auto"/>
        <w:ind w:left="300" w:right="315"/>
        <w:jc w:val="both"/>
      </w:pPr>
      <w:r>
        <w:rPr/>
        <w:t>We see various objects around us; but how exactly do we see them? How does a light microscope allow us to see a magnified image of a specimen? Why is milk white while water transparent? The answer to all these questions is same: the interaction of light with matter alters one or more properties of the light that it receives. We can see objects around us because they absorb, reflect, or scatter the visible light. A specimen becomes visible only if it brings about changes in the radiation used to visualize it. How do then we image samples using electrons? Electron microscopy is possible because interaction of electrons with matter brings about changes in the electrons or generates new electrons with different energies. A specimen will be transparent to electrons if it does not scatter them and therefore be invisible when analyzed using an electron microscope. Figure 17.4 shows the different processes that result through interaction of electrons with</w:t>
      </w:r>
      <w:r>
        <w:rPr>
          <w:spacing w:val="-2"/>
        </w:rPr>
        <w:t> </w:t>
      </w:r>
      <w:r>
        <w:rPr/>
        <w:t>matter.</w:t>
      </w:r>
    </w:p>
    <w:p>
      <w:pPr>
        <w:spacing w:after="0" w:line="360" w:lineRule="auto"/>
        <w:jc w:val="both"/>
        <w:sectPr>
          <w:pgSz w:w="11910" w:h="16840"/>
          <w:pgMar w:header="722" w:footer="748" w:top="1300" w:bottom="940" w:left="1500" w:right="1480"/>
        </w:sectPr>
      </w:pPr>
    </w:p>
    <w:p>
      <w:pPr>
        <w:pStyle w:val="BodyText"/>
        <w:spacing w:before="10"/>
        <w:rPr>
          <w:sz w:val="12"/>
        </w:rPr>
      </w:pPr>
    </w:p>
    <w:p>
      <w:pPr>
        <w:pStyle w:val="BodyText"/>
        <w:ind w:left="859"/>
        <w:rPr>
          <w:sz w:val="20"/>
        </w:rPr>
      </w:pPr>
      <w:r>
        <w:rPr>
          <w:sz w:val="20"/>
        </w:rPr>
        <w:drawing>
          <wp:inline distT="0" distB="0" distL="0" distR="0">
            <wp:extent cx="4733168" cy="2782824"/>
            <wp:effectExtent l="0" t="0" r="0" b="0"/>
            <wp:docPr id="219" name="image114.jpeg" descr="Figure 17.3.tif"/>
            <wp:cNvGraphicFramePr>
              <a:graphicFrameLocks noChangeAspect="1"/>
            </wp:cNvGraphicFramePr>
            <a:graphic>
              <a:graphicData uri="http://schemas.openxmlformats.org/drawingml/2006/picture">
                <pic:pic>
                  <pic:nvPicPr>
                    <pic:cNvPr id="220" name="image114.jpeg"/>
                    <pic:cNvPicPr/>
                  </pic:nvPicPr>
                  <pic:blipFill>
                    <a:blip r:embed="rId124" cstate="print"/>
                    <a:stretch>
                      <a:fillRect/>
                    </a:stretch>
                  </pic:blipFill>
                  <pic:spPr>
                    <a:xfrm>
                      <a:off x="0" y="0"/>
                      <a:ext cx="4733168" cy="2782824"/>
                    </a:xfrm>
                    <a:prstGeom prst="rect">
                      <a:avLst/>
                    </a:prstGeom>
                  </pic:spPr>
                </pic:pic>
              </a:graphicData>
            </a:graphic>
          </wp:inline>
        </w:drawing>
      </w:r>
      <w:r>
        <w:rPr>
          <w:sz w:val="20"/>
        </w:rPr>
      </w:r>
    </w:p>
    <w:p>
      <w:pPr>
        <w:pStyle w:val="BodyText"/>
        <w:spacing w:before="9"/>
        <w:rPr>
          <w:sz w:val="20"/>
        </w:rPr>
      </w:pPr>
    </w:p>
    <w:p>
      <w:pPr>
        <w:spacing w:before="94"/>
        <w:ind w:left="292" w:right="115" w:firstLine="0"/>
        <w:jc w:val="center"/>
        <w:rPr>
          <w:b/>
          <w:sz w:val="16"/>
        </w:rPr>
      </w:pPr>
      <w:r>
        <w:rPr>
          <w:b/>
          <w:sz w:val="16"/>
        </w:rPr>
        <w:t>Figure 17.4 Various phenomena that take place during electron interaction with a thin specimen</w:t>
      </w:r>
    </w:p>
    <w:p>
      <w:pPr>
        <w:pStyle w:val="BodyText"/>
        <w:spacing w:before="10"/>
        <w:rPr>
          <w:b/>
        </w:rPr>
      </w:pPr>
    </w:p>
    <w:p>
      <w:pPr>
        <w:pStyle w:val="BodyText"/>
        <w:spacing w:line="360" w:lineRule="auto"/>
        <w:ind w:left="300" w:right="317"/>
        <w:jc w:val="both"/>
      </w:pPr>
      <w:r>
        <w:rPr>
          <w:i/>
        </w:rPr>
        <w:t>Elastic scattering: </w:t>
      </w:r>
      <w:r>
        <w:rPr/>
        <w:t>In elastic scattering, the scattered electrons do not lose their energy. The scattering only causes change in the electrons’ trajectories. Elastic scattering gives a strong forward peak in a thin</w:t>
      </w:r>
      <w:r>
        <w:rPr>
          <w:spacing w:val="-4"/>
        </w:rPr>
        <w:t> </w:t>
      </w:r>
      <w:r>
        <w:rPr/>
        <w:t>specimen.</w:t>
      </w:r>
    </w:p>
    <w:p>
      <w:pPr>
        <w:pStyle w:val="BodyText"/>
        <w:spacing w:line="360" w:lineRule="auto" w:before="201"/>
        <w:ind w:left="299" w:right="314"/>
        <w:jc w:val="both"/>
      </w:pPr>
      <w:r>
        <w:rPr>
          <w:i/>
        </w:rPr>
        <w:t>Inelastic scattering</w:t>
      </w:r>
      <w:r>
        <w:rPr/>
        <w:t>: All scattering processes that result in the loss of energy of the primary electrons fall under inelastic scattering.</w:t>
      </w:r>
    </w:p>
    <w:p>
      <w:pPr>
        <w:pStyle w:val="BodyText"/>
        <w:spacing w:line="360" w:lineRule="auto" w:before="199"/>
        <w:ind w:left="299" w:right="319"/>
        <w:jc w:val="both"/>
      </w:pPr>
      <w:r>
        <w:rPr>
          <w:i/>
        </w:rPr>
        <w:t>Secondary effects: </w:t>
      </w:r>
      <w:r>
        <w:rPr/>
        <w:t>Secondary effects include the phenomena that are brought about  by the primary electron beam. The phenomena that we are concerned with here</w:t>
      </w:r>
      <w:r>
        <w:rPr>
          <w:spacing w:val="-18"/>
        </w:rPr>
        <w:t> </w:t>
      </w:r>
      <w:r>
        <w:rPr/>
        <w:t>are:</w:t>
      </w:r>
    </w:p>
    <w:p>
      <w:pPr>
        <w:pStyle w:val="ListParagraph"/>
        <w:numPr>
          <w:ilvl w:val="0"/>
          <w:numId w:val="19"/>
        </w:numPr>
        <w:tabs>
          <w:tab w:pos="1380" w:val="left" w:leader="none"/>
        </w:tabs>
        <w:spacing w:line="355" w:lineRule="auto" w:before="199" w:after="0"/>
        <w:ind w:left="1379" w:right="315" w:hanging="360"/>
        <w:jc w:val="both"/>
        <w:rPr>
          <w:sz w:val="24"/>
        </w:rPr>
      </w:pPr>
      <w:r>
        <w:rPr>
          <w:sz w:val="24"/>
        </w:rPr>
        <w:t>Secondary electrons: Secondary electrons are ejected from the atoms in the specimen. The term is usually used for the electrons that have energies below 50 eV. Such electrons can therefore include the primary electrons that lose their energies through successive scattering and reach the surface of the specimen. Secondary electrons are produced in abundance and form the basis of the scanning electron microscopy (discussed in the next lecture).</w:t>
      </w:r>
    </w:p>
    <w:p>
      <w:pPr>
        <w:pStyle w:val="ListParagraph"/>
        <w:numPr>
          <w:ilvl w:val="0"/>
          <w:numId w:val="19"/>
        </w:numPr>
        <w:tabs>
          <w:tab w:pos="1380" w:val="left" w:leader="none"/>
        </w:tabs>
        <w:spacing w:line="350" w:lineRule="auto" w:before="20" w:after="0"/>
        <w:ind w:left="1379" w:right="315" w:hanging="360"/>
        <w:jc w:val="both"/>
        <w:rPr>
          <w:sz w:val="24"/>
        </w:rPr>
      </w:pPr>
      <w:r>
        <w:rPr>
          <w:sz w:val="24"/>
        </w:rPr>
        <w:t>Backscattered electrons: The primary electrons that do retain substantial energy before escaping the specimen surface. Back-scattering is a function of the atomic number wherein samples with larger atomic number give brighter</w:t>
      </w:r>
      <w:r>
        <w:rPr>
          <w:spacing w:val="-2"/>
          <w:sz w:val="24"/>
        </w:rPr>
        <w:t> </w:t>
      </w:r>
      <w:r>
        <w:rPr>
          <w:sz w:val="24"/>
        </w:rPr>
        <w:t>signals.</w:t>
      </w:r>
    </w:p>
    <w:p>
      <w:pPr>
        <w:spacing w:after="0" w:line="350" w:lineRule="auto"/>
        <w:jc w:val="both"/>
        <w:rPr>
          <w:sz w:val="24"/>
        </w:rPr>
        <w:sectPr>
          <w:pgSz w:w="11910" w:h="16840"/>
          <w:pgMar w:header="722" w:footer="748" w:top="1300" w:bottom="940" w:left="1500" w:right="1480"/>
        </w:sectPr>
      </w:pPr>
    </w:p>
    <w:p>
      <w:pPr>
        <w:pStyle w:val="ListParagraph"/>
        <w:numPr>
          <w:ilvl w:val="0"/>
          <w:numId w:val="19"/>
        </w:numPr>
        <w:tabs>
          <w:tab w:pos="1380" w:val="left" w:leader="none"/>
        </w:tabs>
        <w:spacing w:line="348" w:lineRule="auto" w:before="119" w:after="0"/>
        <w:ind w:left="1379" w:right="319" w:hanging="360"/>
        <w:jc w:val="both"/>
        <w:rPr>
          <w:sz w:val="24"/>
        </w:rPr>
      </w:pPr>
      <w:r>
        <w:rPr>
          <w:sz w:val="24"/>
        </w:rPr>
        <w:t>Cathodoluminescence: An electron can knock off a valence electron from the colliding atom creating an electron-hole pair. An electron falls back into the hole releasing the excess energy as</w:t>
      </w:r>
      <w:r>
        <w:rPr>
          <w:spacing w:val="-10"/>
          <w:sz w:val="24"/>
        </w:rPr>
        <w:t> </w:t>
      </w:r>
      <w:r>
        <w:rPr>
          <w:sz w:val="24"/>
        </w:rPr>
        <w:t>light</w:t>
      </w:r>
    </w:p>
    <w:p>
      <w:pPr>
        <w:pStyle w:val="ListParagraph"/>
        <w:numPr>
          <w:ilvl w:val="0"/>
          <w:numId w:val="19"/>
        </w:numPr>
        <w:tabs>
          <w:tab w:pos="1380" w:val="left" w:leader="none"/>
        </w:tabs>
        <w:spacing w:line="352" w:lineRule="auto" w:before="20" w:after="0"/>
        <w:ind w:left="1379" w:right="313" w:hanging="360"/>
        <w:jc w:val="both"/>
        <w:rPr>
          <w:sz w:val="24"/>
        </w:rPr>
      </w:pPr>
      <w:r>
        <w:rPr>
          <w:sz w:val="24"/>
        </w:rPr>
        <w:t>X-rays: If an electron is knocked off from the inner shells of the atom, an electron in the higher energy shells can fill the vacancy in the lower energy state. The energy associated with inner electron transitions fall in the X-ray wavelength</w:t>
      </w:r>
      <w:r>
        <w:rPr>
          <w:spacing w:val="-1"/>
          <w:sz w:val="24"/>
        </w:rPr>
        <w:t> </w:t>
      </w:r>
      <w:r>
        <w:rPr>
          <w:sz w:val="24"/>
        </w:rPr>
        <w:t>region.</w:t>
      </w:r>
    </w:p>
    <w:p>
      <w:pPr>
        <w:spacing w:line="360" w:lineRule="auto" w:before="215"/>
        <w:ind w:left="299" w:right="315" w:firstLine="0"/>
        <w:jc w:val="both"/>
        <w:rPr>
          <w:sz w:val="24"/>
        </w:rPr>
      </w:pPr>
      <w:r>
        <w:rPr>
          <w:sz w:val="24"/>
        </w:rPr>
        <w:t>We are now ready to see how electron microscopes work. Electron microscopes come in two basic designs: </w:t>
      </w:r>
      <w:r>
        <w:rPr>
          <w:i/>
          <w:sz w:val="24"/>
        </w:rPr>
        <w:t>scanning electron microscopes </w:t>
      </w:r>
      <w:r>
        <w:rPr>
          <w:sz w:val="24"/>
        </w:rPr>
        <w:t>and </w:t>
      </w:r>
      <w:r>
        <w:rPr>
          <w:i/>
          <w:sz w:val="24"/>
        </w:rPr>
        <w:t>transmission electron </w:t>
      </w:r>
      <w:r>
        <w:rPr>
          <w:i/>
          <w:sz w:val="24"/>
        </w:rPr>
        <w:t>microscopes</w:t>
      </w:r>
      <w:r>
        <w:rPr>
          <w:sz w:val="24"/>
        </w:rPr>
        <w:t>. The two microscopes differ from each other in the electrons that are detected.</w:t>
      </w:r>
    </w:p>
    <w:p>
      <w:pPr>
        <w:spacing w:after="0" w:line="360" w:lineRule="auto"/>
        <w:jc w:val="both"/>
        <w:rPr>
          <w:sz w:val="24"/>
        </w:rPr>
        <w:sectPr>
          <w:pgSz w:w="11910" w:h="16840"/>
          <w:pgMar w:header="722" w:footer="748" w:top="1300" w:bottom="940" w:left="1500" w:right="1480"/>
        </w:sectPr>
      </w:pPr>
    </w:p>
    <w:p>
      <w:pPr>
        <w:pStyle w:val="Heading2"/>
      </w:pPr>
      <w:r>
        <w:rPr/>
        <w:t>Lecture 18 Electron Microscopy-II</w:t>
      </w:r>
    </w:p>
    <w:p>
      <w:pPr>
        <w:pStyle w:val="BodyText"/>
        <w:spacing w:before="10"/>
        <w:rPr>
          <w:b/>
          <w:sz w:val="32"/>
        </w:rPr>
      </w:pPr>
    </w:p>
    <w:p>
      <w:pPr>
        <w:pStyle w:val="BodyText"/>
        <w:spacing w:line="360" w:lineRule="auto" w:before="1"/>
        <w:ind w:left="300" w:right="317"/>
        <w:jc w:val="both"/>
      </w:pPr>
      <w:r>
        <w:rPr/>
        <w:t>There are two basic models of the electron microscopes: </w:t>
      </w:r>
      <w:r>
        <w:rPr>
          <w:i/>
        </w:rPr>
        <w:t>Scanning electron </w:t>
      </w:r>
      <w:r>
        <w:rPr>
          <w:i/>
        </w:rPr>
        <w:t>microscopes </w:t>
      </w:r>
      <w:r>
        <w:rPr/>
        <w:t>(SEM) and </w:t>
      </w:r>
      <w:r>
        <w:rPr>
          <w:i/>
        </w:rPr>
        <w:t>transmission electron microscopes </w:t>
      </w:r>
      <w:r>
        <w:rPr/>
        <w:t>(TEM). In a SEM, the secondary electrons produced by the specimen are detected to generate an image that contains topological features of the specimen. The image in a TEM, on the other  hand, is generated by the electrons that have transmitted through a thin specimen. Let us see how these two microscopes work and what kind of information they can provide:</w:t>
      </w:r>
    </w:p>
    <w:p>
      <w:pPr>
        <w:pStyle w:val="Heading4"/>
        <w:spacing w:before="205"/>
      </w:pPr>
      <w:r>
        <w:rPr/>
        <w:t>Scanning electron microscope</w:t>
      </w:r>
    </w:p>
    <w:p>
      <w:pPr>
        <w:pStyle w:val="BodyText"/>
        <w:rPr>
          <w:b/>
          <w:sz w:val="29"/>
        </w:rPr>
      </w:pPr>
    </w:p>
    <w:p>
      <w:pPr>
        <w:pStyle w:val="BodyText"/>
        <w:spacing w:line="360" w:lineRule="auto"/>
        <w:ind w:left="300" w:right="321"/>
        <w:jc w:val="both"/>
      </w:pPr>
      <w:r>
        <w:rPr/>
        <w:t>Figure 18.1 shows a simplified schematic diagram of a SEM. The electrons produced by the electron gun are guided and focused by the magnetic lenses on the specimen.</w:t>
      </w:r>
    </w:p>
    <w:p>
      <w:pPr>
        <w:pStyle w:val="BodyText"/>
        <w:spacing w:before="10"/>
        <w:rPr>
          <w:sz w:val="18"/>
        </w:rPr>
      </w:pPr>
      <w:r>
        <w:rPr/>
        <w:drawing>
          <wp:anchor distT="0" distB="0" distL="0" distR="0" allowOverlap="1" layoutInCell="1" locked="0" behindDoc="0" simplePos="0" relativeHeight="259">
            <wp:simplePos x="0" y="0"/>
            <wp:positionH relativeFrom="page">
              <wp:posOffset>1364170</wp:posOffset>
            </wp:positionH>
            <wp:positionV relativeFrom="paragraph">
              <wp:posOffset>162713</wp:posOffset>
            </wp:positionV>
            <wp:extent cx="4974339" cy="3986784"/>
            <wp:effectExtent l="0" t="0" r="0" b="0"/>
            <wp:wrapTopAndBottom/>
            <wp:docPr id="221" name="image115.jpeg" descr="Figure 18.1.tif"/>
            <wp:cNvGraphicFramePr>
              <a:graphicFrameLocks noChangeAspect="1"/>
            </wp:cNvGraphicFramePr>
            <a:graphic>
              <a:graphicData uri="http://schemas.openxmlformats.org/drawingml/2006/picture">
                <pic:pic>
                  <pic:nvPicPr>
                    <pic:cNvPr id="222" name="image115.jpeg"/>
                    <pic:cNvPicPr/>
                  </pic:nvPicPr>
                  <pic:blipFill>
                    <a:blip r:embed="rId125" cstate="print"/>
                    <a:stretch>
                      <a:fillRect/>
                    </a:stretch>
                  </pic:blipFill>
                  <pic:spPr>
                    <a:xfrm>
                      <a:off x="0" y="0"/>
                      <a:ext cx="4974339" cy="3986784"/>
                    </a:xfrm>
                    <a:prstGeom prst="rect">
                      <a:avLst/>
                    </a:prstGeom>
                  </pic:spPr>
                </pic:pic>
              </a:graphicData>
            </a:graphic>
          </wp:anchor>
        </w:drawing>
      </w:r>
    </w:p>
    <w:p>
      <w:pPr>
        <w:pStyle w:val="BodyText"/>
        <w:spacing w:before="7"/>
        <w:rPr>
          <w:sz w:val="31"/>
        </w:rPr>
      </w:pPr>
    </w:p>
    <w:p>
      <w:pPr>
        <w:spacing w:before="0"/>
        <w:ind w:left="796" w:right="617" w:firstLine="0"/>
        <w:jc w:val="center"/>
        <w:rPr>
          <w:b/>
          <w:sz w:val="16"/>
        </w:rPr>
      </w:pPr>
      <w:r>
        <w:rPr>
          <w:b/>
          <w:sz w:val="16"/>
        </w:rPr>
        <w:t>Figure 18.1 A simplified schematic diagram of a scanning electron microscope.</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6"/>
        <w:jc w:val="both"/>
      </w:pPr>
      <w:r>
        <w:rPr/>
        <w:t>The focused beam of electrons is then scanned across the surface in a raster fashion (Figure 18.2). This scanning is achieved by moving the electron beam across the specimen surface by using deflection/scanning coils. The number of secondary electrons produced by the specimen at each scanned point are plotted to give a two dimensional image.</w:t>
      </w:r>
    </w:p>
    <w:p>
      <w:pPr>
        <w:pStyle w:val="BodyText"/>
        <w:spacing w:before="7"/>
        <w:rPr>
          <w:sz w:val="17"/>
        </w:rPr>
      </w:pPr>
      <w:r>
        <w:rPr/>
        <w:drawing>
          <wp:anchor distT="0" distB="0" distL="0" distR="0" allowOverlap="1" layoutInCell="1" locked="0" behindDoc="0" simplePos="0" relativeHeight="260">
            <wp:simplePos x="0" y="0"/>
            <wp:positionH relativeFrom="page">
              <wp:posOffset>1314795</wp:posOffset>
            </wp:positionH>
            <wp:positionV relativeFrom="paragraph">
              <wp:posOffset>153927</wp:posOffset>
            </wp:positionV>
            <wp:extent cx="5276676" cy="1718310"/>
            <wp:effectExtent l="0" t="0" r="0" b="0"/>
            <wp:wrapTopAndBottom/>
            <wp:docPr id="223" name="image116.png" descr="Figure18.2.tif"/>
            <wp:cNvGraphicFramePr>
              <a:graphicFrameLocks noChangeAspect="1"/>
            </wp:cNvGraphicFramePr>
            <a:graphic>
              <a:graphicData uri="http://schemas.openxmlformats.org/drawingml/2006/picture">
                <pic:pic>
                  <pic:nvPicPr>
                    <pic:cNvPr id="224" name="image116.png"/>
                    <pic:cNvPicPr/>
                  </pic:nvPicPr>
                  <pic:blipFill>
                    <a:blip r:embed="rId126" cstate="print"/>
                    <a:stretch>
                      <a:fillRect/>
                    </a:stretch>
                  </pic:blipFill>
                  <pic:spPr>
                    <a:xfrm>
                      <a:off x="0" y="0"/>
                      <a:ext cx="5276676" cy="1718310"/>
                    </a:xfrm>
                    <a:prstGeom prst="rect">
                      <a:avLst/>
                    </a:prstGeom>
                  </pic:spPr>
                </pic:pic>
              </a:graphicData>
            </a:graphic>
          </wp:anchor>
        </w:drawing>
      </w:r>
    </w:p>
    <w:p>
      <w:pPr>
        <w:pStyle w:val="BodyText"/>
        <w:spacing w:before="6"/>
        <w:rPr>
          <w:sz w:val="28"/>
        </w:rPr>
      </w:pPr>
    </w:p>
    <w:tbl>
      <w:tblPr>
        <w:tblW w:w="0" w:type="auto"/>
        <w:jc w:val="left"/>
        <w:tblInd w:w="3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512"/>
      </w:tblGrid>
      <w:tr>
        <w:trPr>
          <w:trHeight w:val="326" w:hRule="atLeast"/>
        </w:trPr>
        <w:tc>
          <w:tcPr>
            <w:tcW w:w="8512" w:type="dxa"/>
          </w:tcPr>
          <w:p>
            <w:pPr>
              <w:pStyle w:val="TableParagraph"/>
              <w:spacing w:line="178" w:lineRule="exact"/>
              <w:ind w:left="274"/>
              <w:rPr>
                <w:b/>
                <w:sz w:val="16"/>
              </w:rPr>
            </w:pPr>
            <w:r>
              <w:rPr>
                <w:b/>
                <w:sz w:val="16"/>
              </w:rPr>
              <w:t>Figure 18.2 A diagrammatic representation of the raster scanning (A) and the intensity plot for the scanned area (B).</w:t>
            </w:r>
          </w:p>
        </w:tc>
      </w:tr>
      <w:tr>
        <w:trPr>
          <w:trHeight w:val="7205" w:hRule="atLeast"/>
        </w:trPr>
        <w:tc>
          <w:tcPr>
            <w:tcW w:w="8512" w:type="dxa"/>
          </w:tcPr>
          <w:p>
            <w:pPr>
              <w:pStyle w:val="TableParagraph"/>
              <w:spacing w:line="360" w:lineRule="auto" w:before="138"/>
              <w:ind w:left="200" w:right="197"/>
              <w:jc w:val="both"/>
              <w:rPr>
                <w:sz w:val="24"/>
              </w:rPr>
            </w:pPr>
            <w:r>
              <w:rPr>
                <w:sz w:val="24"/>
              </w:rPr>
              <w:t>In principle, any of the signals generated at the specimen surface can be detected. Most electron microscopes have the detectors for the secondary electrons and the backscattered electrons. Figure 18.3 shows the interaction volume within the specimen showing the regions of secondary electrons (energy &lt; 50 eV) and backscattered electrons.</w:t>
            </w:r>
          </w:p>
          <w:p>
            <w:pPr>
              <w:pStyle w:val="TableParagraph"/>
              <w:spacing w:line="240" w:lineRule="auto" w:before="1"/>
              <w:ind w:left="0"/>
              <w:rPr>
                <w:sz w:val="18"/>
              </w:rPr>
            </w:pPr>
          </w:p>
          <w:p>
            <w:pPr>
              <w:pStyle w:val="TableParagraph"/>
              <w:spacing w:line="240" w:lineRule="auto"/>
              <w:ind w:left="1319"/>
              <w:rPr>
                <w:sz w:val="20"/>
              </w:rPr>
            </w:pPr>
            <w:r>
              <w:rPr>
                <w:sz w:val="20"/>
              </w:rPr>
              <w:drawing>
                <wp:inline distT="0" distB="0" distL="0" distR="0">
                  <wp:extent cx="3719566" cy="2552319"/>
                  <wp:effectExtent l="0" t="0" r="0" b="0"/>
                  <wp:docPr id="225" name="image117.jpeg" descr="Figure 18.3.tif"/>
                  <wp:cNvGraphicFramePr>
                    <a:graphicFrameLocks noChangeAspect="1"/>
                  </wp:cNvGraphicFramePr>
                  <a:graphic>
                    <a:graphicData uri="http://schemas.openxmlformats.org/drawingml/2006/picture">
                      <pic:pic>
                        <pic:nvPicPr>
                          <pic:cNvPr id="226" name="image117.jpeg"/>
                          <pic:cNvPicPr/>
                        </pic:nvPicPr>
                        <pic:blipFill>
                          <a:blip r:embed="rId127" cstate="print"/>
                          <a:stretch>
                            <a:fillRect/>
                          </a:stretch>
                        </pic:blipFill>
                        <pic:spPr>
                          <a:xfrm>
                            <a:off x="0" y="0"/>
                            <a:ext cx="3719566" cy="2552319"/>
                          </a:xfrm>
                          <a:prstGeom prst="rect">
                            <a:avLst/>
                          </a:prstGeom>
                        </pic:spPr>
                      </pic:pic>
                    </a:graphicData>
                  </a:graphic>
                </wp:inline>
              </w:drawing>
            </w:r>
            <w:r>
              <w:rPr>
                <w:sz w:val="20"/>
              </w:rPr>
            </w:r>
          </w:p>
          <w:p>
            <w:pPr>
              <w:pStyle w:val="TableParagraph"/>
              <w:spacing w:line="280" w:lineRule="atLeast" w:before="210"/>
              <w:ind w:left="200" w:right="200"/>
              <w:jc w:val="both"/>
              <w:rPr>
                <w:b/>
                <w:sz w:val="16"/>
              </w:rPr>
            </w:pPr>
            <w:r>
              <w:rPr>
                <w:b/>
                <w:sz w:val="16"/>
              </w:rPr>
              <w:t>Figure 18.3 Specimen-electron interaction volume within the specimen. Notice the different regions where secondary electrons and backscattered electrons come from.</w:t>
            </w:r>
          </w:p>
        </w:tc>
      </w:tr>
    </w:tbl>
    <w:p>
      <w:pPr>
        <w:spacing w:after="0" w:line="280" w:lineRule="atLeast"/>
        <w:jc w:val="both"/>
        <w:rPr>
          <w:sz w:val="16"/>
        </w:rPr>
        <w:sectPr>
          <w:pgSz w:w="11910" w:h="16840"/>
          <w:pgMar w:header="722" w:footer="748" w:top="1300" w:bottom="940" w:left="1500" w:right="1480"/>
        </w:sectPr>
      </w:pPr>
    </w:p>
    <w:p>
      <w:pPr>
        <w:pStyle w:val="BodyText"/>
        <w:spacing w:line="360" w:lineRule="auto" w:before="119"/>
        <w:ind w:left="300" w:right="317"/>
        <w:jc w:val="both"/>
      </w:pPr>
      <w:r>
        <w:rPr/>
        <w:t>A secondary electron detector is biased with positive potential to attract the low energy secondary electrons. Detector for backscattered electrons is not biased; the high energy backscattered electrons strike the unbiased detector. As backscattered electrons come from a significant depth within the sample (Figure 18.3), they do not provide much information about the specimen topology. However, backscattered electrons can provide useful information about the composition of the sample; materials with higher atomic number produce brighter</w:t>
      </w:r>
      <w:r>
        <w:rPr>
          <w:spacing w:val="-7"/>
        </w:rPr>
        <w:t> </w:t>
      </w:r>
      <w:r>
        <w:rPr/>
        <w:t>images.</w:t>
      </w:r>
    </w:p>
    <w:p>
      <w:pPr>
        <w:pStyle w:val="BodyText"/>
        <w:spacing w:line="360" w:lineRule="auto" w:before="201"/>
        <w:ind w:left="300" w:right="315"/>
        <w:jc w:val="both"/>
      </w:pPr>
      <w:r>
        <w:rPr>
          <w:i/>
        </w:rPr>
        <w:t>Sample preparation for SEM: </w:t>
      </w:r>
      <w:r>
        <w:rPr/>
        <w:t>A specimen to be analyzed by electron microscopy has to be dry which most biological samples are not. As dehydration might lead to structural changes, the specimens are first fixed to preserve their structural features. Fixation is the first step and can be achieved using chemical methods such as fixation with glutaraldehyde or physical methods such as cryofixation in liquid nitrogen. The fixed specimens are then dehydrated usually by exposing them to an increasing gradient of ethanol (up to 100%). The specimens are then dried using critical point method. The dried specimens are then coated with a conducting material usually gold to make the surface conducting and cause it emit more secondary electrons. A SEM image of human erythrocytes coated with gold is shown in figure 18.4.</w:t>
      </w:r>
    </w:p>
    <w:p>
      <w:pPr>
        <w:pStyle w:val="BodyText"/>
        <w:spacing w:before="8"/>
        <w:rPr>
          <w:sz w:val="14"/>
        </w:rPr>
      </w:pPr>
      <w:r>
        <w:rPr/>
        <w:drawing>
          <wp:anchor distT="0" distB="0" distL="0" distR="0" allowOverlap="1" layoutInCell="1" locked="0" behindDoc="0" simplePos="0" relativeHeight="261">
            <wp:simplePos x="0" y="0"/>
            <wp:positionH relativeFrom="page">
              <wp:posOffset>1512252</wp:posOffset>
            </wp:positionH>
            <wp:positionV relativeFrom="paragraph">
              <wp:posOffset>132644</wp:posOffset>
            </wp:positionV>
            <wp:extent cx="4681728" cy="3511296"/>
            <wp:effectExtent l="0" t="0" r="0" b="0"/>
            <wp:wrapTopAndBottom/>
            <wp:docPr id="227" name="image118.png" descr="Figure 18.4.tif"/>
            <wp:cNvGraphicFramePr>
              <a:graphicFrameLocks noChangeAspect="1"/>
            </wp:cNvGraphicFramePr>
            <a:graphic>
              <a:graphicData uri="http://schemas.openxmlformats.org/drawingml/2006/picture">
                <pic:pic>
                  <pic:nvPicPr>
                    <pic:cNvPr id="228" name="image118.png"/>
                    <pic:cNvPicPr/>
                  </pic:nvPicPr>
                  <pic:blipFill>
                    <a:blip r:embed="rId128" cstate="print"/>
                    <a:stretch>
                      <a:fillRect/>
                    </a:stretch>
                  </pic:blipFill>
                  <pic:spPr>
                    <a:xfrm>
                      <a:off x="0" y="0"/>
                      <a:ext cx="4681728" cy="3511296"/>
                    </a:xfrm>
                    <a:prstGeom prst="rect">
                      <a:avLst/>
                    </a:prstGeom>
                  </pic:spPr>
                </pic:pic>
              </a:graphicData>
            </a:graphic>
          </wp:anchor>
        </w:drawing>
      </w:r>
    </w:p>
    <w:p>
      <w:pPr>
        <w:pStyle w:val="BodyText"/>
        <w:spacing w:before="4"/>
        <w:rPr>
          <w:sz w:val="26"/>
        </w:rPr>
      </w:pPr>
    </w:p>
    <w:p>
      <w:pPr>
        <w:spacing w:before="0"/>
        <w:ind w:left="794" w:right="617" w:firstLine="0"/>
        <w:jc w:val="center"/>
        <w:rPr>
          <w:b/>
          <w:sz w:val="16"/>
        </w:rPr>
      </w:pPr>
      <w:r>
        <w:rPr>
          <w:b/>
          <w:sz w:val="16"/>
        </w:rPr>
        <w:t>Figure 18.4 A scanning electron micrograph of human erythrocytes.</w:t>
      </w:r>
    </w:p>
    <w:p>
      <w:pPr>
        <w:spacing w:after="0"/>
        <w:jc w:val="center"/>
        <w:rPr>
          <w:sz w:val="16"/>
        </w:rPr>
        <w:sectPr>
          <w:pgSz w:w="11910" w:h="16840"/>
          <w:pgMar w:header="722" w:footer="748" w:top="1300" w:bottom="940" w:left="1500" w:right="1480"/>
        </w:sectPr>
      </w:pPr>
    </w:p>
    <w:p>
      <w:pPr>
        <w:pStyle w:val="Heading4"/>
        <w:spacing w:before="124"/>
      </w:pPr>
      <w:r>
        <w:rPr/>
        <w:t>Transmission electron microscope</w:t>
      </w:r>
    </w:p>
    <w:p>
      <w:pPr>
        <w:pStyle w:val="BodyText"/>
        <w:rPr>
          <w:b/>
          <w:sz w:val="29"/>
        </w:rPr>
      </w:pPr>
    </w:p>
    <w:p>
      <w:pPr>
        <w:pStyle w:val="BodyText"/>
        <w:spacing w:line="360" w:lineRule="auto"/>
        <w:ind w:left="300" w:right="317"/>
        <w:jc w:val="both"/>
      </w:pPr>
      <w:r>
        <w:rPr/>
        <w:t>The first electron microscope was developed by Knoll and Ruska in 1930s. It was a transmission electron microscope; the electrons were focused on a thin specimen and the electrons transmitted through the specimen were detected. Figure 18.5 shows a simplified optical diagram comparing a light microscope with a transmission electron microscope.</w:t>
      </w:r>
    </w:p>
    <w:p>
      <w:pPr>
        <w:pStyle w:val="BodyText"/>
        <w:rPr>
          <w:sz w:val="21"/>
        </w:rPr>
      </w:pPr>
      <w:r>
        <w:rPr/>
        <w:drawing>
          <wp:anchor distT="0" distB="0" distL="0" distR="0" allowOverlap="1" layoutInCell="1" locked="0" behindDoc="0" simplePos="0" relativeHeight="262">
            <wp:simplePos x="0" y="0"/>
            <wp:positionH relativeFrom="page">
              <wp:posOffset>1327273</wp:posOffset>
            </wp:positionH>
            <wp:positionV relativeFrom="paragraph">
              <wp:posOffset>178490</wp:posOffset>
            </wp:positionV>
            <wp:extent cx="5150507" cy="4408932"/>
            <wp:effectExtent l="0" t="0" r="0" b="0"/>
            <wp:wrapTopAndBottom/>
            <wp:docPr id="229" name="image119.jpeg" descr="Figure 18.5.tif"/>
            <wp:cNvGraphicFramePr>
              <a:graphicFrameLocks noChangeAspect="1"/>
            </wp:cNvGraphicFramePr>
            <a:graphic>
              <a:graphicData uri="http://schemas.openxmlformats.org/drawingml/2006/picture">
                <pic:pic>
                  <pic:nvPicPr>
                    <pic:cNvPr id="230" name="image119.jpeg"/>
                    <pic:cNvPicPr/>
                  </pic:nvPicPr>
                  <pic:blipFill>
                    <a:blip r:embed="rId129" cstate="print"/>
                    <a:stretch>
                      <a:fillRect/>
                    </a:stretch>
                  </pic:blipFill>
                  <pic:spPr>
                    <a:xfrm>
                      <a:off x="0" y="0"/>
                      <a:ext cx="5150507" cy="4408932"/>
                    </a:xfrm>
                    <a:prstGeom prst="rect">
                      <a:avLst/>
                    </a:prstGeom>
                  </pic:spPr>
                </pic:pic>
              </a:graphicData>
            </a:graphic>
          </wp:anchor>
        </w:drawing>
      </w:r>
    </w:p>
    <w:p>
      <w:pPr>
        <w:pStyle w:val="BodyText"/>
        <w:spacing w:before="11"/>
      </w:pPr>
    </w:p>
    <w:p>
      <w:pPr>
        <w:spacing w:before="0"/>
        <w:ind w:left="792" w:right="617" w:firstLine="0"/>
        <w:jc w:val="center"/>
        <w:rPr>
          <w:b/>
          <w:sz w:val="16"/>
        </w:rPr>
      </w:pPr>
      <w:r>
        <w:rPr>
          <w:b/>
          <w:sz w:val="16"/>
        </w:rPr>
        <w:t>Figure 18.5 A simplified comparison of optics in a light microscope with that in a TEM.</w:t>
      </w:r>
    </w:p>
    <w:p>
      <w:pPr>
        <w:pStyle w:val="BodyText"/>
        <w:spacing w:before="1"/>
        <w:rPr>
          <w:b/>
          <w:sz w:val="25"/>
        </w:rPr>
      </w:pPr>
    </w:p>
    <w:p>
      <w:pPr>
        <w:pStyle w:val="BodyText"/>
        <w:spacing w:line="360" w:lineRule="auto"/>
        <w:ind w:left="300" w:right="316"/>
        <w:jc w:val="both"/>
      </w:pPr>
      <w:r>
        <w:rPr/>
        <w:t>Transmission electron microscopes usually have thermionic emission guns and electrons are accelerated anywhere between 40 – 200 kV potential. However, TEM with &gt;1000 kV acceleration potentials have been developed for obtaining higher resolutions. Owing to their brightness and very fine electron beams, field emission guns are becoming more popular as the electron guns.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4"/>
        <w:jc w:val="both"/>
      </w:pPr>
      <w:r>
        <w:rPr>
          <w:i/>
        </w:rPr>
        <w:t>Sample preparation for TEM: </w:t>
      </w:r>
      <w:r>
        <w:rPr/>
        <w:t>The very first requirement of TEM is that the specimens have to be very thin. As for SEM, the specimens to be used for TEM also need to be fixed and dried. Preparation of specimens for TEM can be a fairly tedious process: The samples are usually fixed using a combination of glutaraldehyde and paraformaldehyde. A secondary staining can be done with OsO</w:t>
      </w:r>
      <w:r>
        <w:rPr>
          <w:vertAlign w:val="subscript"/>
        </w:rPr>
        <w:t>4</w:t>
      </w:r>
      <w:r>
        <w:rPr>
          <w:vertAlign w:val="baseline"/>
        </w:rPr>
        <w:t> (Osmium tetroxide). OsO</w:t>
      </w:r>
      <w:r>
        <w:rPr>
          <w:vertAlign w:val="subscript"/>
        </w:rPr>
        <w:t>4</w:t>
      </w:r>
      <w:r>
        <w:rPr>
          <w:vertAlign w:val="baseline"/>
        </w:rPr>
        <w:t> fixes the unsaturated lipids and being a heavy metal acts as an electron stain too. The samples are then dehydrated exactly as done for SEM analysis. The dried samples are then sectioned to obtain ultrathin (&lt;100 nm thickness) sections. This is typically achieved by embedding the sample in a plastic mold and cutting the sections. Epoxy and acrylic resins are also used for embedding the samples for sectioning. The sections are then stained with a heavy metal stain such as uranyl acetate and phosphotungstic acid. The stained sample is then deposited on a carbon coated grid and analyzed by TEM. Figure 18.6 shows a TEM image recorded for a peptide that self-assembled into spherical</w:t>
      </w:r>
      <w:r>
        <w:rPr>
          <w:spacing w:val="-1"/>
          <w:vertAlign w:val="baseline"/>
        </w:rPr>
        <w:t> </w:t>
      </w:r>
      <w:r>
        <w:rPr>
          <w:vertAlign w:val="baseline"/>
        </w:rPr>
        <w:t>structures.</w:t>
      </w:r>
    </w:p>
    <w:p>
      <w:pPr>
        <w:pStyle w:val="BodyText"/>
        <w:spacing w:before="7"/>
        <w:rPr>
          <w:sz w:val="17"/>
        </w:rPr>
      </w:pPr>
      <w:r>
        <w:rPr/>
        <w:drawing>
          <wp:anchor distT="0" distB="0" distL="0" distR="0" allowOverlap="1" layoutInCell="1" locked="0" behindDoc="0" simplePos="0" relativeHeight="263">
            <wp:simplePos x="0" y="0"/>
            <wp:positionH relativeFrom="page">
              <wp:posOffset>2766786</wp:posOffset>
            </wp:positionH>
            <wp:positionV relativeFrom="paragraph">
              <wp:posOffset>153953</wp:posOffset>
            </wp:positionV>
            <wp:extent cx="2186906" cy="2187702"/>
            <wp:effectExtent l="0" t="0" r="0" b="0"/>
            <wp:wrapTopAndBottom/>
            <wp:docPr id="231" name="image120.png" descr="Figure 18.6.tif"/>
            <wp:cNvGraphicFramePr>
              <a:graphicFrameLocks noChangeAspect="1"/>
            </wp:cNvGraphicFramePr>
            <a:graphic>
              <a:graphicData uri="http://schemas.openxmlformats.org/drawingml/2006/picture">
                <pic:pic>
                  <pic:nvPicPr>
                    <pic:cNvPr id="232" name="image120.png"/>
                    <pic:cNvPicPr/>
                  </pic:nvPicPr>
                  <pic:blipFill>
                    <a:blip r:embed="rId130" cstate="print"/>
                    <a:stretch>
                      <a:fillRect/>
                    </a:stretch>
                  </pic:blipFill>
                  <pic:spPr>
                    <a:xfrm>
                      <a:off x="0" y="0"/>
                      <a:ext cx="2186906" cy="2187702"/>
                    </a:xfrm>
                    <a:prstGeom prst="rect">
                      <a:avLst/>
                    </a:prstGeom>
                  </pic:spPr>
                </pic:pic>
              </a:graphicData>
            </a:graphic>
          </wp:anchor>
        </w:drawing>
      </w:r>
    </w:p>
    <w:p>
      <w:pPr>
        <w:pStyle w:val="BodyText"/>
        <w:spacing w:before="1"/>
        <w:rPr>
          <w:sz w:val="27"/>
        </w:rPr>
      </w:pPr>
    </w:p>
    <w:p>
      <w:pPr>
        <w:spacing w:before="0"/>
        <w:ind w:left="795" w:right="617" w:firstLine="0"/>
        <w:jc w:val="center"/>
        <w:rPr>
          <w:b/>
          <w:sz w:val="16"/>
        </w:rPr>
      </w:pPr>
      <w:r>
        <w:rPr>
          <w:b/>
          <w:sz w:val="16"/>
        </w:rPr>
        <w:t>Figure 18.6 A transmission electron micrograph of a self-assembled peptide.</w:t>
      </w:r>
    </w:p>
    <w:p>
      <w:pPr>
        <w:pStyle w:val="BodyText"/>
        <w:spacing w:before="10"/>
        <w:rPr>
          <w:b/>
        </w:rPr>
      </w:pPr>
    </w:p>
    <w:p>
      <w:pPr>
        <w:pStyle w:val="BodyText"/>
        <w:spacing w:line="360" w:lineRule="auto"/>
        <w:ind w:left="299" w:right="318"/>
        <w:jc w:val="both"/>
      </w:pPr>
      <w:r>
        <w:rPr>
          <w:i/>
        </w:rPr>
        <w:t>Scanning transmission electron microscopy: </w:t>
      </w:r>
      <w:r>
        <w:rPr/>
        <w:t>A scanning transmission electron microscope or STEM is a transmission electron microscope that works in the scanning mode like a SEM. An electron beam is focused to a small spot and scanned across the specimen exactly as done in SEM. A STEM allows detecting the transmitted as well as secondary and backscattered electrons. This mode of electron microscope provides spatially resolved information about the</w:t>
      </w:r>
      <w:r>
        <w:rPr>
          <w:spacing w:val="-7"/>
        </w:rPr>
        <w:t> </w:t>
      </w:r>
      <w:r>
        <w:rPr/>
        <w:t>specimen.</w:t>
      </w:r>
    </w:p>
    <w:p>
      <w:pPr>
        <w:pStyle w:val="BodyText"/>
        <w:spacing w:before="200"/>
        <w:ind w:left="299"/>
        <w:jc w:val="both"/>
      </w:pPr>
      <w:r>
        <w:rPr/>
        <w:t>All other types of electron microscopes are the modifications of SEM or TEM.</w:t>
      </w:r>
    </w:p>
    <w:p>
      <w:pPr>
        <w:spacing w:after="0"/>
        <w:jc w:val="both"/>
        <w:sectPr>
          <w:pgSz w:w="11910" w:h="16840"/>
          <w:pgMar w:header="722" w:footer="748" w:top="1300" w:bottom="940" w:left="1500" w:right="1480"/>
        </w:sectPr>
      </w:pPr>
    </w:p>
    <w:p>
      <w:pPr>
        <w:pStyle w:val="Heading2"/>
      </w:pPr>
      <w:r>
        <w:rPr/>
        <w:t>Lecture 19 Atomic Force Microscopy</w:t>
      </w:r>
    </w:p>
    <w:p>
      <w:pPr>
        <w:pStyle w:val="BodyText"/>
        <w:spacing w:before="10"/>
        <w:rPr>
          <w:b/>
          <w:sz w:val="32"/>
        </w:rPr>
      </w:pPr>
    </w:p>
    <w:p>
      <w:pPr>
        <w:pStyle w:val="BodyText"/>
        <w:spacing w:line="360" w:lineRule="auto" w:before="1"/>
        <w:ind w:left="300" w:right="316"/>
        <w:jc w:val="both"/>
      </w:pPr>
      <w:r>
        <w:rPr/>
        <w:t>Atomic force microscopy is a member of the microscopic techniques together known as scanning probe microscopy (SPM). The working principle of scanning probe microscopes is very different from those underlying light and electron microscopy. An SPM is used to study the surface properties of materials by scanning a very fine pointed probe over the surface. SPM is a relatively new technique and emerged with the development of the first working SPM by Gerd Binnig and Heinrich Rohrer in 1981. The first SPM was a scanning tunneling microscope (Figure</w:t>
      </w:r>
      <w:r>
        <w:rPr>
          <w:spacing w:val="-13"/>
        </w:rPr>
        <w:t> </w:t>
      </w:r>
      <w:r>
        <w:rPr/>
        <w:t>19.1).</w:t>
      </w:r>
    </w:p>
    <w:p>
      <w:pPr>
        <w:pStyle w:val="BodyText"/>
        <w:spacing w:before="4"/>
        <w:rPr>
          <w:sz w:val="19"/>
        </w:rPr>
      </w:pPr>
      <w:r>
        <w:rPr/>
        <w:drawing>
          <wp:anchor distT="0" distB="0" distL="0" distR="0" allowOverlap="1" layoutInCell="1" locked="0" behindDoc="0" simplePos="0" relativeHeight="264">
            <wp:simplePos x="0" y="0"/>
            <wp:positionH relativeFrom="page">
              <wp:posOffset>2477789</wp:posOffset>
            </wp:positionH>
            <wp:positionV relativeFrom="paragraph">
              <wp:posOffset>166312</wp:posOffset>
            </wp:positionV>
            <wp:extent cx="2774673" cy="3436620"/>
            <wp:effectExtent l="0" t="0" r="0" b="0"/>
            <wp:wrapTopAndBottom/>
            <wp:docPr id="233" name="image121.jpeg" descr="Figure 19.1.tif"/>
            <wp:cNvGraphicFramePr>
              <a:graphicFrameLocks noChangeAspect="1"/>
            </wp:cNvGraphicFramePr>
            <a:graphic>
              <a:graphicData uri="http://schemas.openxmlformats.org/drawingml/2006/picture">
                <pic:pic>
                  <pic:nvPicPr>
                    <pic:cNvPr id="234" name="image121.jpeg"/>
                    <pic:cNvPicPr/>
                  </pic:nvPicPr>
                  <pic:blipFill>
                    <a:blip r:embed="rId131" cstate="print"/>
                    <a:stretch>
                      <a:fillRect/>
                    </a:stretch>
                  </pic:blipFill>
                  <pic:spPr>
                    <a:xfrm>
                      <a:off x="0" y="0"/>
                      <a:ext cx="2774673" cy="3436620"/>
                    </a:xfrm>
                    <a:prstGeom prst="rect">
                      <a:avLst/>
                    </a:prstGeom>
                  </pic:spPr>
                </pic:pic>
              </a:graphicData>
            </a:graphic>
          </wp:anchor>
        </w:drawing>
      </w:r>
    </w:p>
    <w:p>
      <w:pPr>
        <w:pStyle w:val="BodyText"/>
        <w:spacing w:before="4"/>
        <w:rPr>
          <w:sz w:val="26"/>
        </w:rPr>
      </w:pPr>
    </w:p>
    <w:p>
      <w:pPr>
        <w:spacing w:before="0"/>
        <w:ind w:left="792" w:right="617" w:firstLine="0"/>
        <w:jc w:val="center"/>
        <w:rPr>
          <w:b/>
          <w:sz w:val="16"/>
        </w:rPr>
      </w:pPr>
      <w:r>
        <w:rPr>
          <w:b/>
          <w:sz w:val="16"/>
        </w:rPr>
        <w:t>Figure 19.1 A schematic diagram of a scanning tunneling microscope.</w:t>
      </w:r>
    </w:p>
    <w:p>
      <w:pPr>
        <w:pStyle w:val="BodyText"/>
        <w:spacing w:before="10"/>
        <w:rPr>
          <w:b/>
        </w:rPr>
      </w:pPr>
    </w:p>
    <w:p>
      <w:pPr>
        <w:pStyle w:val="BodyText"/>
        <w:spacing w:line="360" w:lineRule="auto"/>
        <w:ind w:left="300" w:right="314"/>
        <w:jc w:val="both"/>
      </w:pPr>
      <w:r>
        <w:rPr/>
        <w:t>The probe in a scanning tunneling microscope is a very fine metal tip at a high voltage. The tip is brought in a close proximity of the surface and scanned across the surface in a raster pattern. The quantity that is measured is the tunneling current flowing between the sample and the surface. The instrument can operate either in constant current mode or in constant height mode. </w:t>
      </w:r>
      <w:r>
        <w:rPr>
          <w:spacing w:val="-3"/>
        </w:rPr>
        <w:t>In </w:t>
      </w:r>
      <w:r>
        <w:rPr/>
        <w:t>constant height mode, the tip scans the surface and current is recorded at each point. </w:t>
      </w:r>
      <w:r>
        <w:rPr>
          <w:spacing w:val="-3"/>
        </w:rPr>
        <w:t>In </w:t>
      </w:r>
      <w:r>
        <w:rPr/>
        <w:t>a constant current mode, the current flowing between the tip and the sample is kept constant through a feedback loop that causes the sample stage to move closer to or farther from the tip; the signal obtained</w:t>
      </w:r>
      <w:r>
        <w:rPr>
          <w:spacing w:val="30"/>
        </w:rPr>
        <w:t> </w:t>
      </w:r>
      <w:r>
        <w:rPr/>
        <w:t>in</w:t>
      </w:r>
      <w:r>
        <w:rPr>
          <w:spacing w:val="31"/>
        </w:rPr>
        <w:t> </w:t>
      </w:r>
      <w:r>
        <w:rPr/>
        <w:t>constant</w:t>
      </w:r>
      <w:r>
        <w:rPr>
          <w:spacing w:val="30"/>
        </w:rPr>
        <w:t> </w:t>
      </w:r>
      <w:r>
        <w:rPr/>
        <w:t>current</w:t>
      </w:r>
      <w:r>
        <w:rPr>
          <w:spacing w:val="31"/>
        </w:rPr>
        <w:t> </w:t>
      </w:r>
      <w:r>
        <w:rPr/>
        <w:t>mode</w:t>
      </w:r>
      <w:r>
        <w:rPr>
          <w:spacing w:val="29"/>
        </w:rPr>
        <w:t> </w:t>
      </w:r>
      <w:r>
        <w:rPr/>
        <w:t>therefore</w:t>
      </w:r>
      <w:r>
        <w:rPr>
          <w:spacing w:val="30"/>
        </w:rPr>
        <w:t> </w:t>
      </w:r>
      <w:r>
        <w:rPr/>
        <w:t>is</w:t>
      </w:r>
      <w:r>
        <w:rPr>
          <w:spacing w:val="30"/>
        </w:rPr>
        <w:t> </w:t>
      </w:r>
      <w:r>
        <w:rPr/>
        <w:t>the</w:t>
      </w:r>
      <w:r>
        <w:rPr>
          <w:spacing w:val="30"/>
        </w:rPr>
        <w:t> </w:t>
      </w:r>
      <w:r>
        <w:rPr/>
        <w:t>distance</w:t>
      </w:r>
      <w:r>
        <w:rPr>
          <w:spacing w:val="29"/>
        </w:rPr>
        <w:t> </w:t>
      </w:r>
      <w:r>
        <w:rPr/>
        <w:t>between</w:t>
      </w:r>
      <w:r>
        <w:rPr>
          <w:spacing w:val="31"/>
        </w:rPr>
        <w:t> </w:t>
      </w:r>
      <w:r>
        <w:rPr/>
        <w:t>the</w:t>
      </w:r>
      <w:r>
        <w:rPr>
          <w:spacing w:val="31"/>
        </w:rPr>
        <w:t> </w:t>
      </w:r>
      <w:r>
        <w:rPr/>
        <w:t>tip</w:t>
      </w:r>
      <w:r>
        <w:rPr>
          <w:spacing w:val="31"/>
        </w:rPr>
        <w:t> </w:t>
      </w:r>
      <w:r>
        <w:rPr/>
        <w:t>and</w:t>
      </w:r>
      <w:r>
        <w:rPr>
          <w:spacing w:val="30"/>
        </w:rPr>
        <w:t> </w:t>
      </w:r>
      <w:r>
        <w:rPr/>
        <w:t>the</w:t>
      </w:r>
    </w:p>
    <w:p>
      <w:pPr>
        <w:spacing w:after="0" w:line="360" w:lineRule="auto"/>
        <w:jc w:val="both"/>
        <w:sectPr>
          <w:pgSz w:w="11910" w:h="16840"/>
          <w:pgMar w:header="722" w:footer="748" w:top="1300" w:bottom="940" w:left="1500" w:right="1480"/>
        </w:sectPr>
      </w:pPr>
    </w:p>
    <w:p>
      <w:pPr>
        <w:pStyle w:val="BodyText"/>
        <w:spacing w:line="360" w:lineRule="auto" w:before="119"/>
        <w:ind w:left="300" w:right="320"/>
        <w:jc w:val="both"/>
      </w:pPr>
      <w:r>
        <w:rPr/>
        <w:t>specimen. An intrinsic limitation of scanning tunneling microscopy is its inability to study the non-conducting surfaces. This led to the development of other types of microscopes including atomic force microscope.</w:t>
      </w:r>
    </w:p>
    <w:p>
      <w:pPr>
        <w:pStyle w:val="Heading4"/>
        <w:spacing w:before="206"/>
      </w:pPr>
      <w:r>
        <w:rPr/>
        <w:t>Atomic force microscope (AFM)</w:t>
      </w:r>
    </w:p>
    <w:p>
      <w:pPr>
        <w:pStyle w:val="BodyText"/>
        <w:rPr>
          <w:b/>
          <w:sz w:val="29"/>
        </w:rPr>
      </w:pPr>
    </w:p>
    <w:p>
      <w:pPr>
        <w:pStyle w:val="BodyText"/>
        <w:spacing w:line="360" w:lineRule="auto"/>
        <w:ind w:left="300" w:right="315"/>
        <w:jc w:val="both"/>
      </w:pPr>
      <w:r>
        <w:rPr/>
        <w:t>Atomic force microscope is a type of scanning probe microscope that records the force between the probe and the specimen. The working principle of an AFM can be understood like this: Consider yourself to be in a dark room in front of a table. The table has a book, a pen, a wristwatch, a spoon, a fork, and a screw driver. Will </w:t>
      </w:r>
      <w:r>
        <w:rPr>
          <w:spacing w:val="-3"/>
        </w:rPr>
        <w:t>you </w:t>
      </w:r>
      <w:r>
        <w:rPr/>
        <w:t>be able to selectively lift the spoon if asked to do so? The answer for most people is yes. You can distinguish two distinct objects by touching them with your fingers. In this example, your fingers act as the probes, your arm acts as the positioner of your fingers, and your brain works as the processing unit. An AFM works exactly the same way; it has three basic components: a probe, a positioner, and a processing unit. Figure 19.2 shows the diagram and the working principle of an</w:t>
      </w:r>
      <w:r>
        <w:rPr>
          <w:spacing w:val="-9"/>
        </w:rPr>
        <w:t> </w:t>
      </w:r>
      <w:r>
        <w:rPr/>
        <w:t>AFM.</w:t>
      </w:r>
    </w:p>
    <w:p>
      <w:pPr>
        <w:pStyle w:val="BodyText"/>
        <w:spacing w:before="11"/>
        <w:rPr>
          <w:sz w:val="16"/>
        </w:rPr>
      </w:pPr>
      <w:r>
        <w:rPr/>
        <w:drawing>
          <wp:anchor distT="0" distB="0" distL="0" distR="0" allowOverlap="1" layoutInCell="1" locked="0" behindDoc="0" simplePos="0" relativeHeight="265">
            <wp:simplePos x="0" y="0"/>
            <wp:positionH relativeFrom="page">
              <wp:posOffset>1958969</wp:posOffset>
            </wp:positionH>
            <wp:positionV relativeFrom="paragraph">
              <wp:posOffset>148871</wp:posOffset>
            </wp:positionV>
            <wp:extent cx="3824893" cy="3587496"/>
            <wp:effectExtent l="0" t="0" r="0" b="0"/>
            <wp:wrapTopAndBottom/>
            <wp:docPr id="235" name="image122.jpeg"/>
            <wp:cNvGraphicFramePr>
              <a:graphicFrameLocks noChangeAspect="1"/>
            </wp:cNvGraphicFramePr>
            <a:graphic>
              <a:graphicData uri="http://schemas.openxmlformats.org/drawingml/2006/picture">
                <pic:pic>
                  <pic:nvPicPr>
                    <pic:cNvPr id="236" name="image122.jpeg"/>
                    <pic:cNvPicPr/>
                  </pic:nvPicPr>
                  <pic:blipFill>
                    <a:blip r:embed="rId132" cstate="print"/>
                    <a:stretch>
                      <a:fillRect/>
                    </a:stretch>
                  </pic:blipFill>
                  <pic:spPr>
                    <a:xfrm>
                      <a:off x="0" y="0"/>
                      <a:ext cx="3824893" cy="3587496"/>
                    </a:xfrm>
                    <a:prstGeom prst="rect">
                      <a:avLst/>
                    </a:prstGeom>
                  </pic:spPr>
                </pic:pic>
              </a:graphicData>
            </a:graphic>
          </wp:anchor>
        </w:drawing>
      </w:r>
    </w:p>
    <w:p>
      <w:pPr>
        <w:pStyle w:val="BodyText"/>
        <w:spacing w:before="7"/>
        <w:rPr>
          <w:sz w:val="26"/>
        </w:rPr>
      </w:pPr>
    </w:p>
    <w:p>
      <w:pPr>
        <w:spacing w:before="0"/>
        <w:ind w:left="777" w:right="0" w:firstLine="0"/>
        <w:jc w:val="left"/>
        <w:rPr>
          <w:b/>
          <w:sz w:val="16"/>
        </w:rPr>
      </w:pPr>
      <w:r>
        <w:rPr>
          <w:b/>
          <w:sz w:val="16"/>
        </w:rPr>
        <w:t>Figure 19.2 A schematic diagram of an atomic force microscope. The working principle is discussed in the text.</w:t>
      </w:r>
    </w:p>
    <w:p>
      <w:pPr>
        <w:spacing w:after="0"/>
        <w:jc w:val="left"/>
        <w:rPr>
          <w:sz w:val="16"/>
        </w:rPr>
        <w:sectPr>
          <w:pgSz w:w="11910" w:h="16840"/>
          <w:pgMar w:header="722" w:footer="748" w:top="1300" w:bottom="940" w:left="1500" w:right="1480"/>
        </w:sectPr>
      </w:pPr>
    </w:p>
    <w:p>
      <w:pPr>
        <w:pStyle w:val="BodyText"/>
        <w:spacing w:line="360" w:lineRule="auto" w:before="119"/>
        <w:ind w:left="299" w:right="315"/>
        <w:jc w:val="both"/>
      </w:pPr>
      <w:r>
        <w:rPr/>
        <w:t>An AFM has a pointed probe attached to a rectangular base called a cantilever. The positioning of the cantilever with respect to the specimen is achieved by the piezoelectric elements, called scanners. The piezoelectric element can be connected either to the cantilever or the specimen stage. In the initial AFMs, the piezoelectric element was a piezoelectric tube (Figure 19.3A) that can be allowed to position the cantilever in the three dimensional space. As the X, Y, and Z scanners in a piezoelectric tube are coupled, there is always some crosstalk between the scanners. For example, if you command the probe to be shifted by </w:t>
      </w:r>
      <w:r>
        <w:rPr>
          <w:i/>
        </w:rPr>
        <w:t>x </w:t>
      </w:r>
      <w:r>
        <w:rPr/>
        <w:t>units in the X-direction, there is generally a significant displacement in the Y and Z directions. Any such movement of the cantilever in Z-direction is undesired and adds the errors to the data. Modern AFM instruments therefore use an alternative set of scanners wherein Z- scanner is separated from the X-Y scanner (Figure 19.3B).</w:t>
      </w:r>
    </w:p>
    <w:p>
      <w:pPr>
        <w:pStyle w:val="BodyText"/>
        <w:spacing w:before="9"/>
        <w:rPr>
          <w:sz w:val="14"/>
        </w:rPr>
      </w:pPr>
      <w:r>
        <w:rPr/>
        <w:drawing>
          <wp:anchor distT="0" distB="0" distL="0" distR="0" allowOverlap="1" layoutInCell="1" locked="0" behindDoc="0" simplePos="0" relativeHeight="266">
            <wp:simplePos x="0" y="0"/>
            <wp:positionH relativeFrom="page">
              <wp:posOffset>1892985</wp:posOffset>
            </wp:positionH>
            <wp:positionV relativeFrom="paragraph">
              <wp:posOffset>133116</wp:posOffset>
            </wp:positionV>
            <wp:extent cx="3957253" cy="2606802"/>
            <wp:effectExtent l="0" t="0" r="0" b="0"/>
            <wp:wrapTopAndBottom/>
            <wp:docPr id="237" name="image123.jpeg" descr="Figure 19.3.tif"/>
            <wp:cNvGraphicFramePr>
              <a:graphicFrameLocks noChangeAspect="1"/>
            </wp:cNvGraphicFramePr>
            <a:graphic>
              <a:graphicData uri="http://schemas.openxmlformats.org/drawingml/2006/picture">
                <pic:pic>
                  <pic:nvPicPr>
                    <pic:cNvPr id="238" name="image123.jpeg"/>
                    <pic:cNvPicPr/>
                  </pic:nvPicPr>
                  <pic:blipFill>
                    <a:blip r:embed="rId133" cstate="print"/>
                    <a:stretch>
                      <a:fillRect/>
                    </a:stretch>
                  </pic:blipFill>
                  <pic:spPr>
                    <a:xfrm>
                      <a:off x="0" y="0"/>
                      <a:ext cx="3957253" cy="2606802"/>
                    </a:xfrm>
                    <a:prstGeom prst="rect">
                      <a:avLst/>
                    </a:prstGeom>
                  </pic:spPr>
                </pic:pic>
              </a:graphicData>
            </a:graphic>
          </wp:anchor>
        </w:drawing>
      </w:r>
    </w:p>
    <w:p>
      <w:pPr>
        <w:pStyle w:val="BodyText"/>
        <w:spacing w:before="10"/>
        <w:rPr>
          <w:sz w:val="28"/>
        </w:rPr>
      </w:pPr>
    </w:p>
    <w:p>
      <w:pPr>
        <w:spacing w:line="362" w:lineRule="auto" w:before="0"/>
        <w:ind w:left="496" w:right="0" w:firstLine="0"/>
        <w:jc w:val="left"/>
        <w:rPr>
          <w:b/>
          <w:sz w:val="16"/>
        </w:rPr>
      </w:pPr>
      <w:r>
        <w:rPr>
          <w:b/>
          <w:sz w:val="16"/>
        </w:rPr>
        <w:t>Figure 19.3 Piezoelectric scanners used in AFM: A piezoelectric tube (A) and a scanner having decoupled X-Y and Z piezoelectric elements (B).</w:t>
      </w:r>
    </w:p>
    <w:p>
      <w:pPr>
        <w:pStyle w:val="BodyText"/>
        <w:spacing w:before="9"/>
        <w:rPr>
          <w:b/>
          <w:sz w:val="16"/>
        </w:rPr>
      </w:pPr>
    </w:p>
    <w:p>
      <w:pPr>
        <w:pStyle w:val="BodyText"/>
        <w:spacing w:line="360" w:lineRule="auto"/>
        <w:ind w:left="299" w:right="313"/>
        <w:jc w:val="both"/>
      </w:pPr>
      <w:r>
        <w:rPr/>
        <w:t>A laser beam is focused on the cantilever that has a highly reflective surface. The  laser beam reflected off the cantilever is focused on a position sensitive photodiode quadrant. The cantilever is scanned over the sample surface in a raster pattern. Any deflection in the cantilever as a result of sample interaction causes displacement in the laser spot on the photodiode; this displacement signal is analyzed to calculate the deflection in the cantilever. Imaging can be performed in either constant-force mode (distance between the tip and the specimen is allowed to change) or constant-height mode (force between the tip and the specimen is allowed to</w:t>
      </w:r>
      <w:r>
        <w:rPr>
          <w:spacing w:val="-6"/>
        </w:rPr>
        <w:t> </w:t>
      </w:r>
      <w:r>
        <w:rPr/>
        <w:t>change).</w:t>
      </w:r>
    </w:p>
    <w:p>
      <w:pPr>
        <w:spacing w:after="0" w:line="360" w:lineRule="auto"/>
        <w:jc w:val="both"/>
        <w:sectPr>
          <w:pgSz w:w="11910" w:h="16840"/>
          <w:pgMar w:header="722" w:footer="748" w:top="1300" w:bottom="940" w:left="1500" w:right="1480"/>
        </w:sectPr>
      </w:pPr>
    </w:p>
    <w:p>
      <w:pPr>
        <w:pStyle w:val="Heading4"/>
        <w:spacing w:before="124"/>
      </w:pPr>
      <w:r>
        <w:rPr/>
        <w:t>Modes of operation</w:t>
      </w:r>
    </w:p>
    <w:p>
      <w:pPr>
        <w:pStyle w:val="BodyText"/>
        <w:rPr>
          <w:b/>
          <w:sz w:val="29"/>
        </w:rPr>
      </w:pPr>
    </w:p>
    <w:p>
      <w:pPr>
        <w:pStyle w:val="BodyText"/>
        <w:spacing w:line="360" w:lineRule="auto"/>
        <w:ind w:left="300" w:right="318"/>
        <w:jc w:val="both"/>
      </w:pPr>
      <w:r>
        <w:rPr/>
        <w:t>Figure 19.4 shows the Lennard-Jones potential for two interacting atoms. An AFM experiment can be recorded in both attractive and repulsive regimes of the Lennard- Jones potential. There are three basic modes of AFM imaging. Another mode, called force spectroscopy is not used for imaging but for characterizing physico-chemical properties of the specimen as discussed later in this section.</w:t>
      </w:r>
    </w:p>
    <w:p>
      <w:pPr>
        <w:pStyle w:val="BodyText"/>
        <w:spacing w:before="10"/>
        <w:rPr>
          <w:sz w:val="15"/>
        </w:rPr>
      </w:pPr>
      <w:r>
        <w:rPr/>
        <w:drawing>
          <wp:anchor distT="0" distB="0" distL="0" distR="0" allowOverlap="1" layoutInCell="1" locked="0" behindDoc="0" simplePos="0" relativeHeight="267">
            <wp:simplePos x="0" y="0"/>
            <wp:positionH relativeFrom="page">
              <wp:posOffset>1382799</wp:posOffset>
            </wp:positionH>
            <wp:positionV relativeFrom="paragraph">
              <wp:posOffset>141080</wp:posOffset>
            </wp:positionV>
            <wp:extent cx="4983097" cy="3235452"/>
            <wp:effectExtent l="0" t="0" r="0" b="0"/>
            <wp:wrapTopAndBottom/>
            <wp:docPr id="239" name="image124.jpeg" descr="Figure 19.4.tif"/>
            <wp:cNvGraphicFramePr>
              <a:graphicFrameLocks noChangeAspect="1"/>
            </wp:cNvGraphicFramePr>
            <a:graphic>
              <a:graphicData uri="http://schemas.openxmlformats.org/drawingml/2006/picture">
                <pic:pic>
                  <pic:nvPicPr>
                    <pic:cNvPr id="240" name="image124.jpeg"/>
                    <pic:cNvPicPr/>
                  </pic:nvPicPr>
                  <pic:blipFill>
                    <a:blip r:embed="rId134" cstate="print"/>
                    <a:stretch>
                      <a:fillRect/>
                    </a:stretch>
                  </pic:blipFill>
                  <pic:spPr>
                    <a:xfrm>
                      <a:off x="0" y="0"/>
                      <a:ext cx="4983097" cy="3235452"/>
                    </a:xfrm>
                    <a:prstGeom prst="rect">
                      <a:avLst/>
                    </a:prstGeom>
                  </pic:spPr>
                </pic:pic>
              </a:graphicData>
            </a:graphic>
          </wp:anchor>
        </w:drawing>
      </w:r>
    </w:p>
    <w:p>
      <w:pPr>
        <w:pStyle w:val="BodyText"/>
        <w:rPr>
          <w:sz w:val="23"/>
        </w:rPr>
      </w:pPr>
    </w:p>
    <w:p>
      <w:pPr>
        <w:spacing w:before="0"/>
        <w:ind w:left="292" w:right="118" w:firstLine="0"/>
        <w:jc w:val="center"/>
        <w:rPr>
          <w:b/>
          <w:sz w:val="16"/>
        </w:rPr>
      </w:pPr>
      <w:r>
        <w:rPr>
          <w:b/>
          <w:sz w:val="16"/>
        </w:rPr>
        <w:t>Figure 19.4 Lennard-Jones potential and the regions of attraction (orange) and repulsion (green).</w:t>
      </w:r>
    </w:p>
    <w:p>
      <w:pPr>
        <w:pStyle w:val="BodyText"/>
        <w:spacing w:before="10"/>
        <w:rPr>
          <w:b/>
        </w:rPr>
      </w:pPr>
    </w:p>
    <w:p>
      <w:pPr>
        <w:pStyle w:val="BodyText"/>
        <w:spacing w:line="360" w:lineRule="auto"/>
        <w:ind w:left="300" w:right="316"/>
        <w:jc w:val="both"/>
      </w:pPr>
      <w:r>
        <w:rPr>
          <w:i/>
        </w:rPr>
        <w:t>Contact mode AFM: </w:t>
      </w:r>
      <w:r>
        <w:rPr/>
        <w:t>In contact mode AFM, the tip is brought in close contact with the specimen (in the repulsive regime) and scanned over the surface. As the tip is in contact with the sample throughout the scan, the frictional forces are very high. This mode of operation therefore may not be suitable for soft samples including biological samples.</w:t>
      </w:r>
    </w:p>
    <w:p>
      <w:pPr>
        <w:pStyle w:val="BodyText"/>
        <w:spacing w:line="360" w:lineRule="auto" w:before="201"/>
        <w:ind w:left="300" w:right="316"/>
        <w:jc w:val="both"/>
      </w:pPr>
      <w:r>
        <w:rPr>
          <w:i/>
        </w:rPr>
        <w:t>Non-contact mode AFM: </w:t>
      </w:r>
      <w:r>
        <w:rPr/>
        <w:t>In non-contact mode AFM, a cantilever with very high spring constant is oscillated very close to the sample (in the attractive regime). The quantities that are measured are changes in the oscillation amplitude and the phase. The forces between the tip and the sample are very small, of the order of piconewtons. This mode is therefore well-suited for very soft samples but resolution is compromised.</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7"/>
        <w:jc w:val="both"/>
      </w:pPr>
      <w:r>
        <w:rPr>
          <w:i/>
        </w:rPr>
        <w:t>Intermittent mode or tapping mode AFM: </w:t>
      </w:r>
      <w:r>
        <w:rPr/>
        <w:t>A stiff cantilever is oscillated so close to the specimen that a small part of oscillation lies in the repulsive regime of the Lennard- Jones potential. The tip therefore intermittently touches the sample while scanning. This mode of imaging allows imaging with very high resolution and has become the method of choice for scanning the soft biological samples.</w:t>
      </w:r>
    </w:p>
    <w:p>
      <w:pPr>
        <w:pStyle w:val="BodyText"/>
        <w:spacing w:line="360" w:lineRule="auto" w:before="201"/>
        <w:ind w:left="300" w:right="316"/>
        <w:jc w:val="both"/>
      </w:pPr>
      <w:r>
        <w:rPr>
          <w:i/>
        </w:rPr>
        <w:t>Force mode AFM/Force spectroscopy: </w:t>
      </w:r>
      <w:r>
        <w:rPr/>
        <w:t>Force mode of AFM is not an imaging mode. A typical force spectroscopy experiment is schematically shown in Figure 19.5. Briefly, the sample is brought close to the cantilever, pushed against it causing deflections in it, and then withdrawn. A plot of force (depends on the spring constant of the cantilever) against the distance is called a force spectrum. Force spectroscopy mode is often used to study the interactions of the tip with the sample and to determine the mechanical properties of the</w:t>
      </w:r>
      <w:r>
        <w:rPr>
          <w:spacing w:val="-5"/>
        </w:rPr>
        <w:t> </w:t>
      </w:r>
      <w:r>
        <w:rPr/>
        <w:t>specimen.</w:t>
      </w:r>
    </w:p>
    <w:p>
      <w:pPr>
        <w:pStyle w:val="BodyText"/>
        <w:spacing w:before="5"/>
        <w:rPr>
          <w:sz w:val="20"/>
        </w:rPr>
      </w:pPr>
      <w:r>
        <w:rPr/>
        <w:drawing>
          <wp:anchor distT="0" distB="0" distL="0" distR="0" allowOverlap="1" layoutInCell="1" locked="0" behindDoc="0" simplePos="0" relativeHeight="268">
            <wp:simplePos x="0" y="0"/>
            <wp:positionH relativeFrom="page">
              <wp:posOffset>1746905</wp:posOffset>
            </wp:positionH>
            <wp:positionV relativeFrom="paragraph">
              <wp:posOffset>173972</wp:posOffset>
            </wp:positionV>
            <wp:extent cx="4274041" cy="3327654"/>
            <wp:effectExtent l="0" t="0" r="0" b="0"/>
            <wp:wrapTopAndBottom/>
            <wp:docPr id="241" name="image125.jpeg" descr="Figure 19.5.tif"/>
            <wp:cNvGraphicFramePr>
              <a:graphicFrameLocks noChangeAspect="1"/>
            </wp:cNvGraphicFramePr>
            <a:graphic>
              <a:graphicData uri="http://schemas.openxmlformats.org/drawingml/2006/picture">
                <pic:pic>
                  <pic:nvPicPr>
                    <pic:cNvPr id="242" name="image125.jpeg"/>
                    <pic:cNvPicPr/>
                  </pic:nvPicPr>
                  <pic:blipFill>
                    <a:blip r:embed="rId135" cstate="print"/>
                    <a:stretch>
                      <a:fillRect/>
                    </a:stretch>
                  </pic:blipFill>
                  <pic:spPr>
                    <a:xfrm>
                      <a:off x="0" y="0"/>
                      <a:ext cx="4274041" cy="3327654"/>
                    </a:xfrm>
                    <a:prstGeom prst="rect">
                      <a:avLst/>
                    </a:prstGeom>
                  </pic:spPr>
                </pic:pic>
              </a:graphicData>
            </a:graphic>
          </wp:anchor>
        </w:drawing>
      </w:r>
    </w:p>
    <w:p>
      <w:pPr>
        <w:pStyle w:val="BodyText"/>
        <w:spacing w:before="10"/>
        <w:rPr>
          <w:sz w:val="25"/>
        </w:rPr>
      </w:pPr>
    </w:p>
    <w:p>
      <w:pPr>
        <w:spacing w:before="0"/>
        <w:ind w:left="794" w:right="617" w:firstLine="0"/>
        <w:jc w:val="center"/>
        <w:rPr>
          <w:b/>
          <w:sz w:val="16"/>
        </w:rPr>
      </w:pPr>
      <w:r>
        <w:rPr>
          <w:b/>
          <w:sz w:val="16"/>
        </w:rPr>
        <w:t>Figure 19.5 A diagrammatic representation of typical approach and retract force spectra.</w:t>
      </w:r>
    </w:p>
    <w:p>
      <w:pPr>
        <w:spacing w:after="0"/>
        <w:jc w:val="center"/>
        <w:rPr>
          <w:sz w:val="16"/>
        </w:rPr>
        <w:sectPr>
          <w:pgSz w:w="11910" w:h="16840"/>
          <w:pgMar w:header="722" w:footer="748" w:top="1300" w:bottom="940" w:left="1500" w:right="1480"/>
        </w:sectPr>
      </w:pPr>
    </w:p>
    <w:p>
      <w:pPr>
        <w:pStyle w:val="Heading4"/>
        <w:spacing w:before="124"/>
        <w:jc w:val="left"/>
      </w:pPr>
      <w:r>
        <w:rPr/>
        <w:t>Resolution</w:t>
      </w:r>
    </w:p>
    <w:p>
      <w:pPr>
        <w:pStyle w:val="BodyText"/>
        <w:rPr>
          <w:b/>
          <w:sz w:val="29"/>
        </w:rPr>
      </w:pPr>
    </w:p>
    <w:p>
      <w:pPr>
        <w:pStyle w:val="BodyText"/>
        <w:spacing w:line="360" w:lineRule="auto"/>
        <w:ind w:left="300" w:right="316"/>
        <w:jc w:val="both"/>
      </w:pPr>
      <w:r>
        <w:rPr/>
        <w:t>Atomic force microscopes can provide resolutions comparable to that obtained with electron microscopes. As neither light nor particles are used to generate the images, resolution of atomic force microscopes does not depend on any wavelength. The resolution of an AFM is determined by the shape and the diameter of the tip. Figure</w:t>
      </w:r>
    </w:p>
    <w:p>
      <w:pPr>
        <w:pStyle w:val="BodyText"/>
        <w:spacing w:line="360" w:lineRule="auto"/>
        <w:ind w:left="300" w:right="319"/>
        <w:jc w:val="both"/>
      </w:pPr>
      <w:r>
        <w:rPr/>
        <w:t>19.6 shows what influence the tip diameter has on the resolution in an AFM. It is also evident that the resolution in the X-Y plane is poorer as compared to that in the Z- direction. A Z-resolution of ~0.2 nm or better is often achieved using AFM.</w:t>
      </w:r>
    </w:p>
    <w:p>
      <w:pPr>
        <w:pStyle w:val="BodyText"/>
        <w:spacing w:before="9"/>
        <w:rPr>
          <w:sz w:val="14"/>
        </w:rPr>
      </w:pPr>
      <w:r>
        <w:rPr/>
        <w:drawing>
          <wp:anchor distT="0" distB="0" distL="0" distR="0" allowOverlap="1" layoutInCell="1" locked="0" behindDoc="0" simplePos="0" relativeHeight="269">
            <wp:simplePos x="0" y="0"/>
            <wp:positionH relativeFrom="page">
              <wp:posOffset>1883257</wp:posOffset>
            </wp:positionH>
            <wp:positionV relativeFrom="paragraph">
              <wp:posOffset>132771</wp:posOffset>
            </wp:positionV>
            <wp:extent cx="3979511" cy="1475231"/>
            <wp:effectExtent l="0" t="0" r="0" b="0"/>
            <wp:wrapTopAndBottom/>
            <wp:docPr id="243" name="image126.jpeg" descr="Figure 19.6.tif"/>
            <wp:cNvGraphicFramePr>
              <a:graphicFrameLocks noChangeAspect="1"/>
            </wp:cNvGraphicFramePr>
            <a:graphic>
              <a:graphicData uri="http://schemas.openxmlformats.org/drawingml/2006/picture">
                <pic:pic>
                  <pic:nvPicPr>
                    <pic:cNvPr id="244" name="image126.jpeg"/>
                    <pic:cNvPicPr/>
                  </pic:nvPicPr>
                  <pic:blipFill>
                    <a:blip r:embed="rId136" cstate="print"/>
                    <a:stretch>
                      <a:fillRect/>
                    </a:stretch>
                  </pic:blipFill>
                  <pic:spPr>
                    <a:xfrm>
                      <a:off x="0" y="0"/>
                      <a:ext cx="3979511" cy="1475231"/>
                    </a:xfrm>
                    <a:prstGeom prst="rect">
                      <a:avLst/>
                    </a:prstGeom>
                  </pic:spPr>
                </pic:pic>
              </a:graphicData>
            </a:graphic>
          </wp:anchor>
        </w:drawing>
      </w:r>
    </w:p>
    <w:p>
      <w:pPr>
        <w:pStyle w:val="BodyText"/>
        <w:spacing w:before="9"/>
      </w:pPr>
    </w:p>
    <w:p>
      <w:pPr>
        <w:spacing w:before="0"/>
        <w:ind w:left="794" w:right="617" w:firstLine="0"/>
        <w:jc w:val="center"/>
        <w:rPr>
          <w:b/>
          <w:sz w:val="16"/>
        </w:rPr>
      </w:pPr>
      <w:r>
        <w:rPr>
          <w:b/>
          <w:sz w:val="16"/>
        </w:rPr>
        <w:t>Figure 19.6 Effect of tip diameter on the lateral resolution of an AFM.</w:t>
      </w:r>
    </w:p>
    <w:p>
      <w:pPr>
        <w:pStyle w:val="BodyText"/>
        <w:spacing w:before="3"/>
        <w:rPr>
          <w:b/>
          <w:sz w:val="25"/>
        </w:rPr>
      </w:pPr>
    </w:p>
    <w:p>
      <w:pPr>
        <w:pStyle w:val="Heading4"/>
        <w:jc w:val="left"/>
      </w:pPr>
      <w:r>
        <w:rPr/>
        <w:t>Advantages of</w:t>
      </w:r>
      <w:r>
        <w:rPr>
          <w:spacing w:val="-7"/>
        </w:rPr>
        <w:t> </w:t>
      </w:r>
      <w:r>
        <w:rPr/>
        <w:t>AFM</w:t>
      </w:r>
    </w:p>
    <w:p>
      <w:pPr>
        <w:pStyle w:val="BodyText"/>
        <w:rPr>
          <w:b/>
          <w:sz w:val="29"/>
        </w:rPr>
      </w:pPr>
    </w:p>
    <w:p>
      <w:pPr>
        <w:pStyle w:val="BodyText"/>
        <w:spacing w:line="360" w:lineRule="auto"/>
        <w:ind w:left="300" w:right="316"/>
        <w:jc w:val="both"/>
      </w:pPr>
      <w:r>
        <w:rPr/>
        <w:t>Both AFM and EM provide very high resolution images but AFM has few distinct advantages over</w:t>
      </w:r>
      <w:r>
        <w:rPr>
          <w:spacing w:val="-2"/>
        </w:rPr>
        <w:t> </w:t>
      </w:r>
      <w:r>
        <w:rPr/>
        <w:t>EM:</w:t>
      </w:r>
    </w:p>
    <w:p>
      <w:pPr>
        <w:pStyle w:val="ListParagraph"/>
        <w:numPr>
          <w:ilvl w:val="0"/>
          <w:numId w:val="20"/>
        </w:numPr>
        <w:tabs>
          <w:tab w:pos="1020" w:val="left" w:leader="none"/>
        </w:tabs>
        <w:spacing w:line="360" w:lineRule="auto" w:before="200" w:after="0"/>
        <w:ind w:left="1020" w:right="316" w:hanging="488"/>
        <w:jc w:val="both"/>
        <w:rPr>
          <w:sz w:val="24"/>
        </w:rPr>
      </w:pPr>
      <w:r>
        <w:rPr>
          <w:sz w:val="24"/>
        </w:rPr>
        <w:t>Easy sample preparation: AFM does not involve a tedious sample preparation. A sample to be analyzed can simply be placed on a smooth surface and scanned.</w:t>
      </w:r>
    </w:p>
    <w:p>
      <w:pPr>
        <w:pStyle w:val="ListParagraph"/>
        <w:numPr>
          <w:ilvl w:val="0"/>
          <w:numId w:val="20"/>
        </w:numPr>
        <w:tabs>
          <w:tab w:pos="1020" w:val="left" w:leader="none"/>
        </w:tabs>
        <w:spacing w:line="360" w:lineRule="auto" w:before="0" w:after="0"/>
        <w:ind w:left="1019" w:right="317" w:hanging="555"/>
        <w:jc w:val="both"/>
        <w:rPr>
          <w:sz w:val="24"/>
        </w:rPr>
      </w:pPr>
      <w:r>
        <w:rPr>
          <w:sz w:val="24"/>
        </w:rPr>
        <w:t>Imaging in solution: Unlike EM; it is possible, in fact routine; to record AFM images in solution. No other microscopic method, except the scanning probe microscopes, provides a sub-nanometer resolution in</w:t>
      </w:r>
      <w:r>
        <w:rPr>
          <w:spacing w:val="1"/>
          <w:sz w:val="24"/>
        </w:rPr>
        <w:t> </w:t>
      </w:r>
      <w:r>
        <w:rPr>
          <w:sz w:val="24"/>
        </w:rPr>
        <w:t>solution.</w:t>
      </w:r>
    </w:p>
    <w:p>
      <w:pPr>
        <w:pStyle w:val="ListParagraph"/>
        <w:numPr>
          <w:ilvl w:val="0"/>
          <w:numId w:val="20"/>
        </w:numPr>
        <w:tabs>
          <w:tab w:pos="1020" w:val="left" w:leader="none"/>
        </w:tabs>
        <w:spacing w:line="360" w:lineRule="auto" w:before="0" w:after="0"/>
        <w:ind w:left="1020" w:right="317" w:hanging="620"/>
        <w:jc w:val="both"/>
        <w:rPr>
          <w:sz w:val="24"/>
        </w:rPr>
      </w:pPr>
      <w:r>
        <w:rPr>
          <w:sz w:val="24"/>
        </w:rPr>
        <w:t>Manipulation: An AFM tip can be used to mechanically manipulate the specimen at very high spatial</w:t>
      </w:r>
      <w:r>
        <w:rPr>
          <w:spacing w:val="-6"/>
          <w:sz w:val="24"/>
        </w:rPr>
        <w:t> </w:t>
      </w:r>
      <w:r>
        <w:rPr>
          <w:sz w:val="24"/>
        </w:rPr>
        <w:t>resolution.</w:t>
      </w:r>
    </w:p>
    <w:p>
      <w:pPr>
        <w:spacing w:after="0" w:line="360" w:lineRule="auto"/>
        <w:jc w:val="both"/>
        <w:rPr>
          <w:sz w:val="24"/>
        </w:rPr>
        <w:sectPr>
          <w:pgSz w:w="11910" w:h="16840"/>
          <w:pgMar w:header="722" w:footer="748" w:top="1300" w:bottom="940" w:left="1500" w:right="1480"/>
        </w:sectPr>
      </w:pPr>
    </w:p>
    <w:p>
      <w:pPr>
        <w:pStyle w:val="Heading2"/>
      </w:pPr>
      <w:r>
        <w:rPr/>
        <w:t>Lecture 20 Applications of Microscopy in Biological Sciences</w:t>
      </w:r>
    </w:p>
    <w:p>
      <w:pPr>
        <w:pStyle w:val="BodyText"/>
        <w:spacing w:before="10"/>
        <w:rPr>
          <w:b/>
          <w:sz w:val="32"/>
        </w:rPr>
      </w:pPr>
    </w:p>
    <w:p>
      <w:pPr>
        <w:pStyle w:val="BodyText"/>
        <w:spacing w:line="360" w:lineRule="auto" w:before="1"/>
        <w:ind w:left="300" w:right="317"/>
        <w:jc w:val="both"/>
      </w:pPr>
      <w:r>
        <w:rPr/>
        <w:t>We have studied the designs and working principles of conventional light microscopy, fluorescence light microscopy, electron microscopy, and atomic force microscopy. In this lecture, we shall study the various applications of these microscopic methods. We shall see how the images recorded from these methods look like and what information do they provide.</w:t>
      </w:r>
    </w:p>
    <w:p>
      <w:pPr>
        <w:pStyle w:val="Heading4"/>
        <w:spacing w:before="205"/>
      </w:pPr>
      <w:r>
        <w:rPr/>
        <w:t>Light microscopy</w:t>
      </w:r>
    </w:p>
    <w:p>
      <w:pPr>
        <w:pStyle w:val="BodyText"/>
        <w:rPr>
          <w:b/>
          <w:sz w:val="29"/>
        </w:rPr>
      </w:pPr>
    </w:p>
    <w:p>
      <w:pPr>
        <w:pStyle w:val="BodyText"/>
        <w:spacing w:line="360" w:lineRule="auto"/>
        <w:ind w:left="300" w:right="315"/>
        <w:jc w:val="both"/>
      </w:pPr>
      <w:r>
        <w:rPr/>
        <w:t>In the area of biological sciences, microscopy has traditionally been used to study the structures and organization of cells and organelles. Owing to their poor contrast, bright-field and dark-field microscopic methods typically require a specimen that is stained by some dye. Advent of phase contrast significantly improved the contrast and staining may not be necessary for visualizing the specimen. The ultimate idea behind using a microscope is to magnify the specimen and identify the specific features in the specimen. Fluorescence has become a powerful tool to selectively label the molecules and other cellular structures. Light microscopy finds a variety of applications in studying biological systems some of which are:</w:t>
      </w:r>
    </w:p>
    <w:p>
      <w:pPr>
        <w:pStyle w:val="ListParagraph"/>
        <w:numPr>
          <w:ilvl w:val="0"/>
          <w:numId w:val="21"/>
        </w:numPr>
        <w:tabs>
          <w:tab w:pos="1020" w:val="left" w:leader="none"/>
        </w:tabs>
        <w:spacing w:line="360" w:lineRule="auto" w:before="201" w:after="0"/>
        <w:ind w:left="1020" w:right="313" w:hanging="488"/>
        <w:jc w:val="both"/>
        <w:rPr>
          <w:sz w:val="24"/>
        </w:rPr>
      </w:pPr>
      <w:r>
        <w:rPr>
          <w:i/>
          <w:sz w:val="24"/>
        </w:rPr>
        <w:t>Specimen identification and quality: </w:t>
      </w:r>
      <w:r>
        <w:rPr>
          <w:sz w:val="24"/>
        </w:rPr>
        <w:t>The simplest application of microscopy is to observe the given sample to identify the different components in it. A given sample may have different microorganisms with different morphologies and structures. A simple microscopic analysis will allow identifying these components. Viability of cells, and therefore their quality, is ascertained by staining the cells with dyes that distinguish between live and dead</w:t>
      </w:r>
      <w:r>
        <w:rPr>
          <w:spacing w:val="-12"/>
          <w:sz w:val="24"/>
        </w:rPr>
        <w:t> </w:t>
      </w:r>
      <w:r>
        <w:rPr>
          <w:sz w:val="24"/>
        </w:rPr>
        <w:t>cells.</w:t>
      </w:r>
    </w:p>
    <w:p>
      <w:pPr>
        <w:pStyle w:val="ListParagraph"/>
        <w:numPr>
          <w:ilvl w:val="0"/>
          <w:numId w:val="21"/>
        </w:numPr>
        <w:tabs>
          <w:tab w:pos="1020" w:val="left" w:leader="none"/>
        </w:tabs>
        <w:spacing w:line="360" w:lineRule="auto" w:before="0" w:after="0"/>
        <w:ind w:left="1019" w:right="321" w:hanging="555"/>
        <w:jc w:val="both"/>
        <w:rPr>
          <w:sz w:val="24"/>
        </w:rPr>
      </w:pPr>
      <w:r>
        <w:rPr>
          <w:i/>
          <w:sz w:val="24"/>
        </w:rPr>
        <w:t>Cell counting: </w:t>
      </w:r>
      <w:r>
        <w:rPr>
          <w:sz w:val="24"/>
        </w:rPr>
        <w:t>Counting of cells using a hemocytometer utilizes light microscopy.</w:t>
      </w:r>
    </w:p>
    <w:p>
      <w:pPr>
        <w:pStyle w:val="ListParagraph"/>
        <w:numPr>
          <w:ilvl w:val="0"/>
          <w:numId w:val="21"/>
        </w:numPr>
        <w:tabs>
          <w:tab w:pos="1020" w:val="left" w:leader="none"/>
        </w:tabs>
        <w:spacing w:line="360" w:lineRule="auto" w:before="0" w:after="0"/>
        <w:ind w:left="1019" w:right="315" w:hanging="620"/>
        <w:jc w:val="both"/>
        <w:rPr>
          <w:sz w:val="24"/>
        </w:rPr>
      </w:pPr>
      <w:r>
        <w:rPr>
          <w:i/>
          <w:sz w:val="24"/>
        </w:rPr>
        <w:t>Classification of bacteria: </w:t>
      </w:r>
      <w:r>
        <w:rPr>
          <w:sz w:val="24"/>
        </w:rPr>
        <w:t>Differential staining of the bacterial cell wall by Gram staining method is the basis of classifying the bacteria into Gram positive and Gram negative. The stained cells can easily be observed in a bright-field microscope allowing their</w:t>
      </w:r>
      <w:r>
        <w:rPr>
          <w:spacing w:val="-5"/>
          <w:sz w:val="24"/>
        </w:rPr>
        <w:t> </w:t>
      </w:r>
      <w:r>
        <w:rPr>
          <w:sz w:val="24"/>
        </w:rPr>
        <w:t>classification.</w:t>
      </w:r>
    </w:p>
    <w:p>
      <w:pPr>
        <w:pStyle w:val="ListParagraph"/>
        <w:numPr>
          <w:ilvl w:val="0"/>
          <w:numId w:val="21"/>
        </w:numPr>
        <w:tabs>
          <w:tab w:pos="1020" w:val="left" w:leader="none"/>
        </w:tabs>
        <w:spacing w:line="360" w:lineRule="auto" w:before="0" w:after="0"/>
        <w:ind w:left="1019" w:right="316" w:hanging="608"/>
        <w:jc w:val="both"/>
        <w:rPr>
          <w:sz w:val="24"/>
        </w:rPr>
      </w:pPr>
      <w:r>
        <w:rPr>
          <w:i/>
          <w:sz w:val="24"/>
        </w:rPr>
        <w:t>Microscopic analysis of body fluids: </w:t>
      </w:r>
      <w:r>
        <w:rPr>
          <w:sz w:val="24"/>
        </w:rPr>
        <w:t>Microscopic analysis of blood samples is routinely used to determine the blood cell count, to detect the microbial infection, and to identify any changes in the cellular</w:t>
      </w:r>
      <w:r>
        <w:rPr>
          <w:spacing w:val="-10"/>
          <w:sz w:val="24"/>
        </w:rPr>
        <w:t> </w:t>
      </w:r>
      <w:r>
        <w:rPr>
          <w:sz w:val="24"/>
        </w:rPr>
        <w:t>structures.</w:t>
      </w:r>
    </w:p>
    <w:p>
      <w:pPr>
        <w:spacing w:after="0" w:line="360" w:lineRule="auto"/>
        <w:jc w:val="both"/>
        <w:rPr>
          <w:sz w:val="24"/>
        </w:rPr>
        <w:sectPr>
          <w:pgSz w:w="11910" w:h="16840"/>
          <w:pgMar w:header="722" w:footer="748" w:top="1300" w:bottom="940" w:left="1500" w:right="1480"/>
        </w:sectPr>
      </w:pPr>
    </w:p>
    <w:p>
      <w:pPr>
        <w:pStyle w:val="ListParagraph"/>
        <w:numPr>
          <w:ilvl w:val="0"/>
          <w:numId w:val="21"/>
        </w:numPr>
        <w:tabs>
          <w:tab w:pos="1020" w:val="left" w:leader="none"/>
        </w:tabs>
        <w:spacing w:line="360" w:lineRule="auto" w:before="119" w:after="0"/>
        <w:ind w:left="1020" w:right="315" w:hanging="540"/>
        <w:jc w:val="both"/>
        <w:rPr>
          <w:sz w:val="24"/>
        </w:rPr>
      </w:pPr>
      <w:r>
        <w:rPr>
          <w:i/>
          <w:sz w:val="24"/>
        </w:rPr>
        <w:t>Fecal analysis of domesticated animals: </w:t>
      </w:r>
      <w:r>
        <w:rPr>
          <w:sz w:val="24"/>
        </w:rPr>
        <w:t>Domesticated animals are often infected by the protozoan parasites. Coccidia, for example is always present in the intestine of goats. However, if the number of parasites is very large, it can cause problems. Coccidiosis is a big cause for fetal deaths in goats and sheeps. Coccidia can easily be identified and quantitated by analyzing the fecal samples using light</w:t>
      </w:r>
      <w:r>
        <w:rPr>
          <w:spacing w:val="-4"/>
          <w:sz w:val="24"/>
        </w:rPr>
        <w:t> </w:t>
      </w:r>
      <w:r>
        <w:rPr>
          <w:sz w:val="24"/>
        </w:rPr>
        <w:t>microscopy.</w:t>
      </w:r>
    </w:p>
    <w:p>
      <w:pPr>
        <w:pStyle w:val="ListParagraph"/>
        <w:numPr>
          <w:ilvl w:val="0"/>
          <w:numId w:val="21"/>
        </w:numPr>
        <w:tabs>
          <w:tab w:pos="1020" w:val="left" w:leader="none"/>
        </w:tabs>
        <w:spacing w:line="360" w:lineRule="auto" w:before="1" w:after="0"/>
        <w:ind w:left="1020" w:right="315" w:hanging="608"/>
        <w:jc w:val="both"/>
        <w:rPr>
          <w:sz w:val="24"/>
        </w:rPr>
      </w:pPr>
      <w:r>
        <w:rPr>
          <w:i/>
          <w:sz w:val="24"/>
        </w:rPr>
        <w:t>Histopathology: </w:t>
      </w:r>
      <w:r>
        <w:rPr>
          <w:sz w:val="24"/>
        </w:rPr>
        <w:t>Histopathology is the area of pathology that deals with the anatomical changes in the tissues. The tissue samples are sliced into thin sections and stained with a dye. A number of stains are available and the choice of stain depends on the histological features one needs to study. For example, hematoxylin and eosin stain is a routinely used stain to study the morphological features of tissue samples, congo red is often used to identify the amyloid plaques, Giemsa stain is used for identifying the parasites such as plasmodium. </w:t>
      </w:r>
      <w:r>
        <w:rPr>
          <w:spacing w:val="-3"/>
          <w:sz w:val="24"/>
        </w:rPr>
        <w:t>If </w:t>
      </w:r>
      <w:r>
        <w:rPr>
          <w:sz w:val="24"/>
        </w:rPr>
        <w:t>a fluorescent stain is used, the specimens can be analyzed by fluorescence</w:t>
      </w:r>
      <w:r>
        <w:rPr>
          <w:spacing w:val="-2"/>
          <w:sz w:val="24"/>
        </w:rPr>
        <w:t> </w:t>
      </w:r>
      <w:r>
        <w:rPr>
          <w:sz w:val="24"/>
        </w:rPr>
        <w:t>microscopy.</w:t>
      </w:r>
    </w:p>
    <w:p>
      <w:pPr>
        <w:pStyle w:val="ListParagraph"/>
        <w:numPr>
          <w:ilvl w:val="0"/>
          <w:numId w:val="21"/>
        </w:numPr>
        <w:tabs>
          <w:tab w:pos="1020" w:val="left" w:leader="none"/>
        </w:tabs>
        <w:spacing w:line="360" w:lineRule="auto" w:before="0" w:after="0"/>
        <w:ind w:left="1020" w:right="315" w:hanging="675"/>
        <w:jc w:val="both"/>
        <w:rPr>
          <w:sz w:val="24"/>
        </w:rPr>
      </w:pPr>
      <w:r>
        <w:rPr>
          <w:i/>
          <w:sz w:val="24"/>
        </w:rPr>
        <w:t>Cytopathology: </w:t>
      </w:r>
      <w:r>
        <w:rPr>
          <w:sz w:val="24"/>
        </w:rPr>
        <w:t>Cytopathology, as the name suggests, is the study of pathological conditions at the cellular level. Any change in the cellular morphology or anatomy following an infection, as a result of a metabolic disorder, or a cellular condition like sickle cell anemia can be studied by staining the cells and analyzing them using any of the light microscopic methods.</w:t>
      </w:r>
    </w:p>
    <w:p>
      <w:pPr>
        <w:pStyle w:val="ListParagraph"/>
        <w:numPr>
          <w:ilvl w:val="0"/>
          <w:numId w:val="21"/>
        </w:numPr>
        <w:tabs>
          <w:tab w:pos="1020" w:val="left" w:leader="none"/>
        </w:tabs>
        <w:spacing w:line="360" w:lineRule="auto" w:before="0" w:after="0"/>
        <w:ind w:left="1020" w:right="316" w:hanging="740"/>
        <w:jc w:val="both"/>
        <w:rPr>
          <w:sz w:val="24"/>
        </w:rPr>
      </w:pPr>
      <w:r>
        <w:rPr>
          <w:i/>
          <w:sz w:val="24"/>
        </w:rPr>
        <w:t>Cellular membranes and intracellular structures: </w:t>
      </w:r>
      <w:r>
        <w:rPr>
          <w:sz w:val="24"/>
        </w:rPr>
        <w:t>A cellular feature can be selectively labeled using fluorescently labeled antibodies (immunofluorescence, discussed in lecture 15) or the fluorescent dyes that selectively bind to the cellular structures. For example, probes that specifically bind to the cellular organelles like nucleus, mitochondria, and lysosomes are commercially available. </w:t>
      </w:r>
      <w:r>
        <w:rPr>
          <w:i/>
          <w:sz w:val="24"/>
        </w:rPr>
        <w:t>e.g. </w:t>
      </w:r>
      <w:r>
        <w:rPr>
          <w:sz w:val="24"/>
        </w:rPr>
        <w:t>DAPI for DNA</w:t>
      </w:r>
      <w:r>
        <w:rPr>
          <w:spacing w:val="-8"/>
          <w:sz w:val="24"/>
        </w:rPr>
        <w:t> </w:t>
      </w:r>
      <w:r>
        <w:rPr>
          <w:sz w:val="24"/>
        </w:rPr>
        <w:t>staining.</w:t>
      </w:r>
    </w:p>
    <w:p>
      <w:pPr>
        <w:pStyle w:val="ListParagraph"/>
        <w:numPr>
          <w:ilvl w:val="0"/>
          <w:numId w:val="21"/>
        </w:numPr>
        <w:tabs>
          <w:tab w:pos="1020" w:val="left" w:leader="none"/>
        </w:tabs>
        <w:spacing w:line="360" w:lineRule="auto" w:before="0" w:after="0"/>
        <w:ind w:left="1019" w:right="316" w:hanging="608"/>
        <w:jc w:val="both"/>
        <w:rPr>
          <w:sz w:val="24"/>
        </w:rPr>
      </w:pPr>
      <w:r>
        <w:rPr>
          <w:i/>
          <w:sz w:val="24"/>
        </w:rPr>
        <w:t>Membrane proteins: </w:t>
      </w:r>
      <w:r>
        <w:rPr>
          <w:sz w:val="24"/>
        </w:rPr>
        <w:t>Fluorescently labeled membrane proteins can be studied using total internal reflection fluorescence (TIRF) microscopy as discussed in lecture 15. TIRF allows selective excitation of the fluorophores that are in close proximity with the sample substrate such as a glass</w:t>
      </w:r>
      <w:r>
        <w:rPr>
          <w:spacing w:val="-12"/>
          <w:sz w:val="24"/>
        </w:rPr>
        <w:t> </w:t>
      </w:r>
      <w:r>
        <w:rPr>
          <w:sz w:val="24"/>
        </w:rPr>
        <w:t>slide.</w:t>
      </w:r>
    </w:p>
    <w:p>
      <w:pPr>
        <w:pStyle w:val="ListParagraph"/>
        <w:numPr>
          <w:ilvl w:val="0"/>
          <w:numId w:val="21"/>
        </w:numPr>
        <w:tabs>
          <w:tab w:pos="1020" w:val="left" w:leader="none"/>
        </w:tabs>
        <w:spacing w:line="360" w:lineRule="auto" w:before="0" w:after="0"/>
        <w:ind w:left="1019" w:right="317" w:hanging="540"/>
        <w:jc w:val="both"/>
        <w:rPr>
          <w:sz w:val="24"/>
        </w:rPr>
      </w:pPr>
      <w:r>
        <w:rPr>
          <w:i/>
          <w:sz w:val="24"/>
        </w:rPr>
        <w:t>Live cell imaging: </w:t>
      </w:r>
      <w:r>
        <w:rPr>
          <w:sz w:val="24"/>
        </w:rPr>
        <w:t>Inverted microscopes allow direct microscopy of the cultured</w:t>
      </w:r>
      <w:r>
        <w:rPr>
          <w:spacing w:val="-1"/>
          <w:sz w:val="24"/>
        </w:rPr>
        <w:t> </w:t>
      </w:r>
      <w:r>
        <w:rPr>
          <w:sz w:val="24"/>
        </w:rPr>
        <w:t>cells.</w:t>
      </w:r>
    </w:p>
    <w:p>
      <w:pPr>
        <w:spacing w:after="0" w:line="360" w:lineRule="auto"/>
        <w:jc w:val="both"/>
        <w:rPr>
          <w:sz w:val="24"/>
        </w:rPr>
        <w:sectPr>
          <w:pgSz w:w="11910" w:h="16840"/>
          <w:pgMar w:header="722" w:footer="748" w:top="1300" w:bottom="940" w:left="1500" w:right="1480"/>
        </w:sectPr>
      </w:pPr>
    </w:p>
    <w:p>
      <w:pPr>
        <w:pStyle w:val="ListParagraph"/>
        <w:numPr>
          <w:ilvl w:val="0"/>
          <w:numId w:val="21"/>
        </w:numPr>
        <w:tabs>
          <w:tab w:pos="1020" w:val="left" w:leader="none"/>
        </w:tabs>
        <w:spacing w:line="360" w:lineRule="auto" w:before="119" w:after="0"/>
        <w:ind w:left="1020" w:right="316" w:hanging="608"/>
        <w:jc w:val="both"/>
        <w:rPr>
          <w:sz w:val="24"/>
        </w:rPr>
      </w:pPr>
      <w:r>
        <w:rPr>
          <w:i/>
          <w:sz w:val="24"/>
        </w:rPr>
        <w:t>Protein dynamics and localization: </w:t>
      </w:r>
      <w:r>
        <w:rPr>
          <w:sz w:val="24"/>
        </w:rPr>
        <w:t>Green fluorescent protein (GFP) and its variants have made it possible to selectively label the proteins within a cell. Live cell imaging using fluorescence microscopy allows studying the dynamics and localization of the proteins in the</w:t>
      </w:r>
      <w:r>
        <w:rPr>
          <w:spacing w:val="-3"/>
          <w:sz w:val="24"/>
        </w:rPr>
        <w:t> </w:t>
      </w:r>
      <w:r>
        <w:rPr>
          <w:sz w:val="24"/>
        </w:rPr>
        <w:t>cells.</w:t>
      </w:r>
    </w:p>
    <w:p>
      <w:pPr>
        <w:pStyle w:val="ListParagraph"/>
        <w:numPr>
          <w:ilvl w:val="0"/>
          <w:numId w:val="21"/>
        </w:numPr>
        <w:tabs>
          <w:tab w:pos="1020" w:val="left" w:leader="none"/>
        </w:tabs>
        <w:spacing w:line="360" w:lineRule="auto" w:before="0" w:after="0"/>
        <w:ind w:left="1019" w:right="315" w:hanging="675"/>
        <w:jc w:val="both"/>
        <w:rPr>
          <w:sz w:val="24"/>
        </w:rPr>
      </w:pPr>
      <w:r>
        <w:rPr>
          <w:i/>
          <w:sz w:val="24"/>
        </w:rPr>
        <w:t>Co-localization of the proteins: </w:t>
      </w:r>
      <w:r>
        <w:rPr>
          <w:sz w:val="24"/>
        </w:rPr>
        <w:t>Confocal laser scanning microscopy (CLSM) scans a specimen and gives the plot of intensity in the two dimensional coordinate space. Performing scanning experiments in closely spaced focal planes provides the three dimensional distribution of the fluorophore inside the cell. This allows to study if two proteins are close together within the cell. Figure 20.1 shows the confocal images recorded for two proteins; protein A is labeled with the green fluorescent protein (GFP) while protein B is labeled with the RFP. The co-localization of the red emitting protein with the green emitting protein gives yellow color (Figure</w:t>
      </w:r>
      <w:r>
        <w:rPr>
          <w:spacing w:val="-1"/>
          <w:sz w:val="24"/>
        </w:rPr>
        <w:t> </w:t>
      </w:r>
      <w:r>
        <w:rPr>
          <w:sz w:val="24"/>
        </w:rPr>
        <w:t>20.1D)</w:t>
      </w:r>
    </w:p>
    <w:p>
      <w:pPr>
        <w:pStyle w:val="BodyText"/>
        <w:spacing w:before="9"/>
        <w:rPr>
          <w:sz w:val="14"/>
        </w:rPr>
      </w:pPr>
      <w:r>
        <w:rPr/>
        <w:drawing>
          <wp:anchor distT="0" distB="0" distL="0" distR="0" allowOverlap="1" layoutInCell="1" locked="0" behindDoc="0" simplePos="0" relativeHeight="270">
            <wp:simplePos x="0" y="0"/>
            <wp:positionH relativeFrom="page">
              <wp:posOffset>1289850</wp:posOffset>
            </wp:positionH>
            <wp:positionV relativeFrom="paragraph">
              <wp:posOffset>133075</wp:posOffset>
            </wp:positionV>
            <wp:extent cx="5172973" cy="1445799"/>
            <wp:effectExtent l="0" t="0" r="0" b="0"/>
            <wp:wrapTopAndBottom/>
            <wp:docPr id="245" name="image127.jpeg" descr="Figure 20.1.tif"/>
            <wp:cNvGraphicFramePr>
              <a:graphicFrameLocks noChangeAspect="1"/>
            </wp:cNvGraphicFramePr>
            <a:graphic>
              <a:graphicData uri="http://schemas.openxmlformats.org/drawingml/2006/picture">
                <pic:pic>
                  <pic:nvPicPr>
                    <pic:cNvPr id="246" name="image127.jpeg"/>
                    <pic:cNvPicPr/>
                  </pic:nvPicPr>
                  <pic:blipFill>
                    <a:blip r:embed="rId137" cstate="print"/>
                    <a:stretch>
                      <a:fillRect/>
                    </a:stretch>
                  </pic:blipFill>
                  <pic:spPr>
                    <a:xfrm>
                      <a:off x="0" y="0"/>
                      <a:ext cx="5172973" cy="1445799"/>
                    </a:xfrm>
                    <a:prstGeom prst="rect">
                      <a:avLst/>
                    </a:prstGeom>
                  </pic:spPr>
                </pic:pic>
              </a:graphicData>
            </a:graphic>
          </wp:anchor>
        </w:drawing>
      </w:r>
    </w:p>
    <w:p>
      <w:pPr>
        <w:pStyle w:val="BodyText"/>
        <w:spacing w:before="10"/>
        <w:rPr>
          <w:sz w:val="30"/>
        </w:rPr>
      </w:pPr>
    </w:p>
    <w:p>
      <w:pPr>
        <w:spacing w:line="362" w:lineRule="auto" w:before="0"/>
        <w:ind w:left="496" w:right="314" w:firstLine="0"/>
        <w:jc w:val="both"/>
        <w:rPr>
          <w:b/>
          <w:sz w:val="16"/>
        </w:rPr>
      </w:pPr>
      <w:r>
        <w:rPr>
          <w:b/>
          <w:sz w:val="16"/>
        </w:rPr>
        <w:t>Figure 20.1 A bright-field image of a cell expressing </w:t>
      </w:r>
      <w:r>
        <w:rPr>
          <w:b/>
          <w:i/>
          <w:sz w:val="16"/>
        </w:rPr>
        <w:t>protein A-GFP </w:t>
      </w:r>
      <w:r>
        <w:rPr>
          <w:b/>
          <w:sz w:val="16"/>
        </w:rPr>
        <w:t>and </w:t>
      </w:r>
      <w:r>
        <w:rPr>
          <w:b/>
          <w:i/>
          <w:sz w:val="16"/>
        </w:rPr>
        <w:t>protein B-RFP </w:t>
      </w:r>
      <w:r>
        <w:rPr>
          <w:b/>
          <w:sz w:val="16"/>
        </w:rPr>
        <w:t>(A); a confocal image recorded for GFP (B); a confocal image recorded for RFP (C); a superimposed image showing co-localization of the two  proteins</w:t>
      </w:r>
      <w:r>
        <w:rPr>
          <w:b/>
          <w:spacing w:val="-1"/>
          <w:sz w:val="16"/>
        </w:rPr>
        <w:t> </w:t>
      </w:r>
      <w:r>
        <w:rPr>
          <w:b/>
          <w:sz w:val="16"/>
        </w:rPr>
        <w:t>(D).</w:t>
      </w:r>
    </w:p>
    <w:p>
      <w:pPr>
        <w:pStyle w:val="BodyText"/>
        <w:rPr>
          <w:b/>
          <w:sz w:val="18"/>
        </w:rPr>
      </w:pPr>
    </w:p>
    <w:p>
      <w:pPr>
        <w:pStyle w:val="BodyText"/>
        <w:rPr>
          <w:b/>
          <w:sz w:val="18"/>
        </w:rPr>
      </w:pPr>
    </w:p>
    <w:p>
      <w:pPr>
        <w:pStyle w:val="Heading4"/>
        <w:spacing w:before="127"/>
      </w:pPr>
      <w:r>
        <w:rPr/>
        <w:t>Scanning electron microscopy</w:t>
      </w:r>
    </w:p>
    <w:p>
      <w:pPr>
        <w:pStyle w:val="BodyText"/>
        <w:rPr>
          <w:b/>
          <w:sz w:val="29"/>
        </w:rPr>
      </w:pPr>
    </w:p>
    <w:p>
      <w:pPr>
        <w:pStyle w:val="BodyText"/>
        <w:spacing w:line="360" w:lineRule="auto" w:before="1"/>
        <w:ind w:left="300" w:right="316"/>
        <w:jc w:val="both"/>
      </w:pPr>
      <w:r>
        <w:rPr/>
        <w:t>A scanning electron microscope is usually equipped with the detectors for secondary electrons and backscattered electrons (refer to figure 18.3). An SEM can produce images up to a resolution of ~2.5 nm. Some of the applications of SEM are:</w:t>
      </w:r>
    </w:p>
    <w:p>
      <w:pPr>
        <w:pStyle w:val="BodyText"/>
        <w:spacing w:line="360" w:lineRule="auto" w:before="200"/>
        <w:ind w:left="300" w:right="315"/>
        <w:jc w:val="both"/>
      </w:pPr>
      <w:r>
        <w:rPr>
          <w:i/>
        </w:rPr>
        <w:t>Surface morphology: </w:t>
      </w:r>
      <w:r>
        <w:rPr/>
        <w:t>Imaging of the specimen at nanometer scale resolution is perhaps the most-straightforward application of SEM. Biological specimens are dried and coated with a conducting material as discussed in lecture</w:t>
      </w:r>
      <w:r>
        <w:rPr>
          <w:spacing w:val="-4"/>
        </w:rPr>
        <w:t> </w:t>
      </w:r>
      <w:r>
        <w:rPr/>
        <w:t>18.</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6"/>
        <w:jc w:val="both"/>
      </w:pPr>
      <w:r>
        <w:rPr>
          <w:i/>
        </w:rPr>
        <w:t>Compositional analysis: </w:t>
      </w:r>
      <w:r>
        <w:rPr/>
        <w:t>Backscattering of electrons depends on the atomic number of the material. Backscattered electrons reveal the differences in the composition of a material. The regions with high atomic mass elements scatter more electrons thereby giving a brighter image. This kind of analysis allows detection of the contaminants in a specimen, if</w:t>
      </w:r>
      <w:r>
        <w:rPr>
          <w:spacing w:val="-1"/>
        </w:rPr>
        <w:t> </w:t>
      </w:r>
      <w:r>
        <w:rPr/>
        <w:t>any.</w:t>
      </w:r>
    </w:p>
    <w:p>
      <w:pPr>
        <w:pStyle w:val="BodyText"/>
        <w:spacing w:line="360" w:lineRule="auto" w:before="201"/>
        <w:ind w:left="299" w:right="314"/>
        <w:jc w:val="both"/>
      </w:pPr>
      <w:r>
        <w:rPr>
          <w:i/>
        </w:rPr>
        <w:t>Energy dispersive X-ray spectroscopy (EDS/EDX/EDXS): </w:t>
      </w:r>
      <w:r>
        <w:rPr/>
        <w:t>EDXS is one of the several </w:t>
      </w:r>
      <w:r>
        <w:rPr>
          <w:i/>
        </w:rPr>
        <w:t>analytical electron microscopic </w:t>
      </w:r>
      <w:r>
        <w:rPr/>
        <w:t>methods. The primary electron beam causes excitation of the atoms in the specimen by ejecting electrons form their inner shells. The hole thus created is filled by an electron from the outer high energy shells. The excess energy is emitted as the X-rays that are characteristic of the element; determination of their energies allows identification of the elements in the specimen (Figure</w:t>
      </w:r>
      <w:r>
        <w:rPr>
          <w:spacing w:val="-2"/>
        </w:rPr>
        <w:t> </w:t>
      </w:r>
      <w:r>
        <w:rPr/>
        <w:t>20.2).</w:t>
      </w:r>
    </w:p>
    <w:p>
      <w:pPr>
        <w:pStyle w:val="BodyText"/>
        <w:spacing w:before="3"/>
        <w:rPr>
          <w:sz w:val="15"/>
        </w:rPr>
      </w:pPr>
      <w:r>
        <w:rPr/>
        <w:drawing>
          <wp:anchor distT="0" distB="0" distL="0" distR="0" allowOverlap="1" layoutInCell="1" locked="0" behindDoc="0" simplePos="0" relativeHeight="271">
            <wp:simplePos x="0" y="0"/>
            <wp:positionH relativeFrom="page">
              <wp:posOffset>2129079</wp:posOffset>
            </wp:positionH>
            <wp:positionV relativeFrom="paragraph">
              <wp:posOffset>136603</wp:posOffset>
            </wp:positionV>
            <wp:extent cx="3477186" cy="1881759"/>
            <wp:effectExtent l="0" t="0" r="0" b="0"/>
            <wp:wrapTopAndBottom/>
            <wp:docPr id="247" name="image128.jpeg" descr="Figure 20.2.tif"/>
            <wp:cNvGraphicFramePr>
              <a:graphicFrameLocks noChangeAspect="1"/>
            </wp:cNvGraphicFramePr>
            <a:graphic>
              <a:graphicData uri="http://schemas.openxmlformats.org/drawingml/2006/picture">
                <pic:pic>
                  <pic:nvPicPr>
                    <pic:cNvPr id="248" name="image128.jpeg"/>
                    <pic:cNvPicPr/>
                  </pic:nvPicPr>
                  <pic:blipFill>
                    <a:blip r:embed="rId138" cstate="print"/>
                    <a:stretch>
                      <a:fillRect/>
                    </a:stretch>
                  </pic:blipFill>
                  <pic:spPr>
                    <a:xfrm>
                      <a:off x="0" y="0"/>
                      <a:ext cx="3477186" cy="1881759"/>
                    </a:xfrm>
                    <a:prstGeom prst="rect">
                      <a:avLst/>
                    </a:prstGeom>
                  </pic:spPr>
                </pic:pic>
              </a:graphicData>
            </a:graphic>
          </wp:anchor>
        </w:drawing>
      </w:r>
    </w:p>
    <w:p>
      <w:pPr>
        <w:pStyle w:val="BodyText"/>
        <w:spacing w:before="8"/>
        <w:rPr>
          <w:sz w:val="25"/>
        </w:rPr>
      </w:pPr>
    </w:p>
    <w:p>
      <w:pPr>
        <w:spacing w:before="0"/>
        <w:ind w:left="792" w:right="617" w:firstLine="0"/>
        <w:jc w:val="center"/>
        <w:rPr>
          <w:b/>
          <w:sz w:val="16"/>
        </w:rPr>
      </w:pPr>
      <w:r>
        <w:rPr>
          <w:b/>
          <w:sz w:val="16"/>
        </w:rPr>
        <w:t>Figure 20.2 A diagrammatic representation of X-rays production by an atom.</w:t>
      </w:r>
    </w:p>
    <w:p>
      <w:pPr>
        <w:pStyle w:val="BodyText"/>
        <w:spacing w:before="4"/>
        <w:rPr>
          <w:b/>
          <w:sz w:val="25"/>
        </w:rPr>
      </w:pPr>
    </w:p>
    <w:p>
      <w:pPr>
        <w:pStyle w:val="Heading4"/>
      </w:pPr>
      <w:r>
        <w:rPr/>
        <w:t>Transmission and scanning transmission electron microscopy</w:t>
      </w:r>
    </w:p>
    <w:p>
      <w:pPr>
        <w:pStyle w:val="BodyText"/>
        <w:rPr>
          <w:b/>
          <w:sz w:val="29"/>
        </w:rPr>
      </w:pPr>
    </w:p>
    <w:p>
      <w:pPr>
        <w:pStyle w:val="BodyText"/>
        <w:spacing w:line="360" w:lineRule="auto"/>
        <w:ind w:left="300" w:right="315"/>
        <w:jc w:val="both"/>
      </w:pPr>
      <w:r>
        <w:rPr/>
        <w:t>Transmission electron microscopy has become a routine method for studying the biological specimens. A resolution of &lt;0.5 nm is easily achieved as compared to ~2.5 nm resolution limit of SEM. Let us look at the various applications of TEM:</w:t>
      </w:r>
    </w:p>
    <w:p>
      <w:pPr>
        <w:pStyle w:val="BodyText"/>
        <w:spacing w:line="360" w:lineRule="auto" w:before="200"/>
        <w:ind w:left="300" w:right="314"/>
        <w:jc w:val="both"/>
      </w:pPr>
      <w:r>
        <w:rPr>
          <w:i/>
        </w:rPr>
        <w:t>Bright-field and dark-field microscopic imaging: </w:t>
      </w:r>
      <w:r>
        <w:rPr/>
        <w:t>Unless mentioned otherwise, TEM images usually are bright-field images. Thicker and electron-rich regions in the specimen produce darker regions in the image. Owing to their sub- micrometer/nanometer dimensions, many of the cellular components are not observed by light microscopy. High resolution TEM can reveal the ultrastructural details of these components. Like light microscopy, TEM can operate in dark-field mode too.</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9"/>
        <w:jc w:val="both"/>
      </w:pPr>
      <w:r>
        <w:rPr/>
        <w:t>An aperture can be adjusted to reject the undiffracted electron beam; the diffracted electrons generate an image against a dark background.</w:t>
      </w:r>
    </w:p>
    <w:p>
      <w:pPr>
        <w:pStyle w:val="BodyText"/>
        <w:spacing w:line="360" w:lineRule="auto" w:before="200"/>
        <w:ind w:left="299" w:right="318"/>
        <w:jc w:val="both"/>
      </w:pPr>
      <w:r>
        <w:rPr>
          <w:i/>
        </w:rPr>
        <w:t>Electron diffraction: </w:t>
      </w:r>
      <w:r>
        <w:rPr/>
        <w:t>The crystalline regions in the specimen diffract the incident electrons. The diffraction pattern generated provides information about the lattice parameters of the crystalline regions.</w:t>
      </w:r>
    </w:p>
    <w:p>
      <w:pPr>
        <w:pStyle w:val="BodyText"/>
        <w:spacing w:line="360" w:lineRule="auto" w:before="200"/>
        <w:ind w:left="299" w:right="315"/>
        <w:jc w:val="both"/>
      </w:pPr>
      <w:r>
        <w:rPr>
          <w:i/>
        </w:rPr>
        <w:t>Energy dispersive X-ray spectroscopy (EDS/EDX/EDXS): </w:t>
      </w:r>
      <w:r>
        <w:rPr/>
        <w:t>Analytical transmission electron microscopes usually come with several detectors such as detectors for secondary electrons, backscattered electrons, and X-rays. If a TEM is used in scanning mode (Scanning TEM/STEM), a compositional map can be obtained for the specimen.</w:t>
      </w:r>
    </w:p>
    <w:p>
      <w:pPr>
        <w:pStyle w:val="BodyText"/>
        <w:spacing w:line="360" w:lineRule="auto" w:before="201"/>
        <w:ind w:left="300" w:right="315"/>
        <w:jc w:val="both"/>
      </w:pPr>
      <w:r>
        <w:rPr>
          <w:i/>
        </w:rPr>
        <w:t>Nanotomography: </w:t>
      </w:r>
      <w:r>
        <w:rPr/>
        <w:t>A TEM micrograph is the two-dimensional projection of a three dimensional object. Recording a large number of images at different tilt angles, however, can be used to construct the three-dimensional model of the specimen as shown in figure 20.3.</w:t>
      </w:r>
    </w:p>
    <w:p>
      <w:pPr>
        <w:pStyle w:val="BodyText"/>
        <w:spacing w:before="2"/>
        <w:rPr>
          <w:sz w:val="17"/>
        </w:rPr>
      </w:pPr>
      <w:r>
        <w:rPr/>
        <w:drawing>
          <wp:anchor distT="0" distB="0" distL="0" distR="0" allowOverlap="1" layoutInCell="1" locked="0" behindDoc="0" simplePos="0" relativeHeight="272">
            <wp:simplePos x="0" y="0"/>
            <wp:positionH relativeFrom="page">
              <wp:posOffset>1396559</wp:posOffset>
            </wp:positionH>
            <wp:positionV relativeFrom="paragraph">
              <wp:posOffset>150285</wp:posOffset>
            </wp:positionV>
            <wp:extent cx="4901299" cy="540067"/>
            <wp:effectExtent l="0" t="0" r="0" b="0"/>
            <wp:wrapTopAndBottom/>
            <wp:docPr id="249" name="image129.png"/>
            <wp:cNvGraphicFramePr>
              <a:graphicFrameLocks noChangeAspect="1"/>
            </wp:cNvGraphicFramePr>
            <a:graphic>
              <a:graphicData uri="http://schemas.openxmlformats.org/drawingml/2006/picture">
                <pic:pic>
                  <pic:nvPicPr>
                    <pic:cNvPr id="250" name="image129.png"/>
                    <pic:cNvPicPr/>
                  </pic:nvPicPr>
                  <pic:blipFill>
                    <a:blip r:embed="rId139" cstate="print"/>
                    <a:stretch>
                      <a:fillRect/>
                    </a:stretch>
                  </pic:blipFill>
                  <pic:spPr>
                    <a:xfrm>
                      <a:off x="0" y="0"/>
                      <a:ext cx="4901299" cy="540067"/>
                    </a:xfrm>
                    <a:prstGeom prst="rect">
                      <a:avLst/>
                    </a:prstGeom>
                  </pic:spPr>
                </pic:pic>
              </a:graphicData>
            </a:graphic>
          </wp:anchor>
        </w:drawing>
      </w:r>
    </w:p>
    <w:p>
      <w:pPr>
        <w:pStyle w:val="BodyText"/>
        <w:rPr>
          <w:sz w:val="26"/>
        </w:rPr>
      </w:pPr>
    </w:p>
    <w:p>
      <w:pPr>
        <w:spacing w:before="229"/>
        <w:ind w:left="851" w:right="0" w:firstLine="0"/>
        <w:jc w:val="left"/>
        <w:rPr>
          <w:b/>
          <w:sz w:val="16"/>
        </w:rPr>
      </w:pPr>
      <w:r>
        <w:rPr>
          <w:b/>
          <w:sz w:val="16"/>
        </w:rPr>
        <w:t>Figure 20.3 Tomography: a diagrammatic representation of a cylinder’s images recorded at different angles.</w:t>
      </w:r>
    </w:p>
    <w:p>
      <w:pPr>
        <w:pStyle w:val="BodyText"/>
        <w:spacing w:before="10"/>
        <w:rPr>
          <w:b/>
        </w:rPr>
      </w:pPr>
    </w:p>
    <w:p>
      <w:pPr>
        <w:pStyle w:val="BodyText"/>
        <w:spacing w:line="360" w:lineRule="auto"/>
        <w:ind w:left="300" w:right="311"/>
        <w:jc w:val="both"/>
      </w:pPr>
      <w:r>
        <w:rPr>
          <w:i/>
        </w:rPr>
        <w:t>Cryoelectron microscopy: </w:t>
      </w:r>
      <w:r>
        <w:rPr/>
        <w:t>We have seen that the specimens to be analyzed by TEM  as well as SEM need to be completely dehydrated. Imaging under hydrated conditions is a highly desirable feature for the imaging of biological specimens. Cryoelectron microscopy (Cryo-EM) is a TEM method that makes it possible to analyze the specimen under hydrated conditions. Cryo-EM has become a major tool for determining the structures of large biomolecular complexes that are difficult to study by routine structure determination methods such as X-ray crystallography and NMR spectroscopy. The biomolecule is dissolved in a suitable buffer that stabilizes its native structure. A small amount of the sample is placed on the EM grid and excess sample is removed using blotting paper. The sample coated grid is plunged into a cryogen; the rapid cooling inhibits formation of ice crystals that could damage the specimen. The specimen therefore is in the amorphous ice. The frozen specimen is studied</w:t>
      </w:r>
      <w:r>
        <w:rPr>
          <w:spacing w:val="11"/>
        </w:rPr>
        <w:t> </w:t>
      </w:r>
      <w:r>
        <w:rPr/>
        <w:t>under</w:t>
      </w:r>
      <w:r>
        <w:rPr>
          <w:spacing w:val="10"/>
        </w:rPr>
        <w:t> </w:t>
      </w:r>
      <w:r>
        <w:rPr/>
        <w:t>TEM.</w:t>
      </w:r>
      <w:r>
        <w:rPr>
          <w:spacing w:val="11"/>
        </w:rPr>
        <w:t> </w:t>
      </w:r>
      <w:r>
        <w:rPr/>
        <w:t>As</w:t>
      </w:r>
      <w:r>
        <w:rPr>
          <w:spacing w:val="11"/>
        </w:rPr>
        <w:t> </w:t>
      </w:r>
      <w:r>
        <w:rPr/>
        <w:t>no</w:t>
      </w:r>
      <w:r>
        <w:rPr>
          <w:spacing w:val="11"/>
        </w:rPr>
        <w:t> </w:t>
      </w:r>
      <w:r>
        <w:rPr/>
        <w:t>staining</w:t>
      </w:r>
      <w:r>
        <w:rPr>
          <w:spacing w:val="9"/>
        </w:rPr>
        <w:t> </w:t>
      </w:r>
      <w:r>
        <w:rPr/>
        <w:t>is</w:t>
      </w:r>
      <w:r>
        <w:rPr>
          <w:spacing w:val="11"/>
        </w:rPr>
        <w:t> </w:t>
      </w:r>
      <w:r>
        <w:rPr/>
        <w:t>done,</w:t>
      </w:r>
      <w:r>
        <w:rPr>
          <w:spacing w:val="11"/>
        </w:rPr>
        <w:t> </w:t>
      </w:r>
      <w:r>
        <w:rPr/>
        <w:t>the</w:t>
      </w:r>
      <w:r>
        <w:rPr>
          <w:spacing w:val="10"/>
        </w:rPr>
        <w:t> </w:t>
      </w:r>
      <w:r>
        <w:rPr/>
        <w:t>contrast</w:t>
      </w:r>
      <w:r>
        <w:rPr>
          <w:spacing w:val="11"/>
        </w:rPr>
        <w:t> </w:t>
      </w:r>
      <w:r>
        <w:rPr/>
        <w:t>of</w:t>
      </w:r>
      <w:r>
        <w:rPr>
          <w:spacing w:val="11"/>
        </w:rPr>
        <w:t> </w:t>
      </w:r>
      <w:r>
        <w:rPr/>
        <w:t>cryo-EM</w:t>
      </w:r>
      <w:r>
        <w:rPr>
          <w:spacing w:val="11"/>
        </w:rPr>
        <w:t> </w:t>
      </w:r>
      <w:r>
        <w:rPr/>
        <w:t>is</w:t>
      </w:r>
      <w:r>
        <w:rPr>
          <w:spacing w:val="11"/>
        </w:rPr>
        <w:t> </w:t>
      </w:r>
      <w:r>
        <w:rPr/>
        <w:t>very</w:t>
      </w:r>
      <w:r>
        <w:rPr>
          <w:spacing w:val="6"/>
        </w:rPr>
        <w:t> </w:t>
      </w:r>
      <w:r>
        <w:rPr/>
        <w:t>poor.</w:t>
      </w:r>
      <w:r>
        <w:rPr>
          <w:spacing w:val="13"/>
        </w:rPr>
        <w:t> </w:t>
      </w:r>
      <w:r>
        <w:rPr/>
        <w:t>As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5"/>
        <w:jc w:val="both"/>
      </w:pPr>
      <w:r>
        <w:rPr/>
        <w:t>the specimen, prior to freezing, is isotropic, the images are obtained for all possible orientations of the molecules. The resolution can be enhanced by stacking the images of the molecules captured in the same orientation </w:t>
      </w:r>
      <w:r>
        <w:rPr>
          <w:i/>
        </w:rPr>
        <w:t>e.g. </w:t>
      </w:r>
      <w:r>
        <w:rPr/>
        <w:t>a and b in figure 20.4. The images for these molecules can be cut out, aligned, and stacked one over another. Noise being random gets cancelled out giving a better contrast.</w:t>
      </w:r>
    </w:p>
    <w:p>
      <w:pPr>
        <w:pStyle w:val="BodyText"/>
        <w:spacing w:before="9"/>
        <w:rPr>
          <w:sz w:val="14"/>
        </w:rPr>
      </w:pPr>
      <w:r>
        <w:rPr/>
        <w:drawing>
          <wp:anchor distT="0" distB="0" distL="0" distR="0" allowOverlap="1" layoutInCell="1" locked="0" behindDoc="0" simplePos="0" relativeHeight="273">
            <wp:simplePos x="0" y="0"/>
            <wp:positionH relativeFrom="page">
              <wp:posOffset>1454937</wp:posOffset>
            </wp:positionH>
            <wp:positionV relativeFrom="paragraph">
              <wp:posOffset>133074</wp:posOffset>
            </wp:positionV>
            <wp:extent cx="4831660" cy="2225421"/>
            <wp:effectExtent l="0" t="0" r="0" b="0"/>
            <wp:wrapTopAndBottom/>
            <wp:docPr id="251" name="image130.png"/>
            <wp:cNvGraphicFramePr>
              <a:graphicFrameLocks noChangeAspect="1"/>
            </wp:cNvGraphicFramePr>
            <a:graphic>
              <a:graphicData uri="http://schemas.openxmlformats.org/drawingml/2006/picture">
                <pic:pic>
                  <pic:nvPicPr>
                    <pic:cNvPr id="252" name="image130.png"/>
                    <pic:cNvPicPr/>
                  </pic:nvPicPr>
                  <pic:blipFill>
                    <a:blip r:embed="rId140" cstate="print"/>
                    <a:stretch>
                      <a:fillRect/>
                    </a:stretch>
                  </pic:blipFill>
                  <pic:spPr>
                    <a:xfrm>
                      <a:off x="0" y="0"/>
                      <a:ext cx="4831660" cy="2225421"/>
                    </a:xfrm>
                    <a:prstGeom prst="rect">
                      <a:avLst/>
                    </a:prstGeom>
                  </pic:spPr>
                </pic:pic>
              </a:graphicData>
            </a:graphic>
          </wp:anchor>
        </w:drawing>
      </w:r>
    </w:p>
    <w:p>
      <w:pPr>
        <w:pStyle w:val="BodyText"/>
        <w:spacing w:before="9"/>
        <w:rPr>
          <w:sz w:val="23"/>
        </w:rPr>
      </w:pPr>
    </w:p>
    <w:p>
      <w:pPr>
        <w:spacing w:line="362" w:lineRule="auto" w:before="1"/>
        <w:ind w:left="496" w:right="317" w:firstLine="0"/>
        <w:jc w:val="both"/>
        <w:rPr>
          <w:b/>
          <w:sz w:val="16"/>
        </w:rPr>
      </w:pPr>
      <w:r>
        <w:rPr>
          <w:b/>
          <w:sz w:val="16"/>
        </w:rPr>
        <w:t>Figure 20.4 Images of the identical dice in different orientations. Image ‘a’ can be aligned with image ‘b’ by rotating it 20° (clockwise) and translating it to the coordinates of image ‘b’. Stacking of a large number of such images is used to enhance contrast in cryo-EM.</w:t>
      </w:r>
    </w:p>
    <w:p>
      <w:pPr>
        <w:pStyle w:val="BodyText"/>
        <w:spacing w:before="2"/>
        <w:rPr>
          <w:b/>
          <w:sz w:val="17"/>
        </w:rPr>
      </w:pPr>
    </w:p>
    <w:p>
      <w:pPr>
        <w:pStyle w:val="Heading4"/>
      </w:pPr>
      <w:r>
        <w:rPr/>
        <w:t>Atomic force microscopy</w:t>
      </w:r>
    </w:p>
    <w:p>
      <w:pPr>
        <w:pStyle w:val="BodyText"/>
        <w:spacing w:before="9"/>
        <w:rPr>
          <w:b/>
          <w:sz w:val="28"/>
        </w:rPr>
      </w:pPr>
    </w:p>
    <w:p>
      <w:pPr>
        <w:pStyle w:val="BodyText"/>
        <w:spacing w:line="360" w:lineRule="auto" w:before="1"/>
        <w:ind w:left="300" w:right="313"/>
        <w:jc w:val="both"/>
      </w:pPr>
      <w:r>
        <w:rPr/>
        <w:t>An atomic force microscope (AFM), like SEM, provides information about the surface properties of the specimen. The resolution of the images is determined by the tip shape and diameter as described in the previous lecture (Figure 19.6). With AFM, resolution comparable to or even better than TEM is routinely achieved. A big plus of AFM over EM is its potential to perform imaging of the liquid samples as well, albeit with lesser resolutions (~20 – 50 nm). Imaging of liquid samples is one of the most desired characteristics of biological microscopy. Soft biological samples are easily analyzed using intermittent mode/tapping mode AFM. Furthermore, an AFM analysis does not require tedious sample preparation. </w:t>
      </w:r>
      <w:r>
        <w:rPr>
          <w:spacing w:val="-3"/>
        </w:rPr>
        <w:t>Let </w:t>
      </w:r>
      <w:r>
        <w:rPr/>
        <w:t>us go through some of the applications AFM has been utilized</w:t>
      </w:r>
      <w:r>
        <w:rPr>
          <w:spacing w:val="-1"/>
        </w:rPr>
        <w:t> </w:t>
      </w:r>
      <w:r>
        <w:rPr/>
        <w:t>for:</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6"/>
        <w:jc w:val="both"/>
      </w:pPr>
      <w:r>
        <w:rPr>
          <w:i/>
        </w:rPr>
        <w:t>Imaging of dry samples: </w:t>
      </w:r>
      <w:r>
        <w:rPr/>
        <w:t>The specimen is deposited on an atomically-smooth substrate, typically mica and dried. The dried specimen is directly studied by AFM without requiring any staining. The ability to provide resolutions comparable to TEM makes AFM a powerful tool in nanotechnology. Figure 20.5 shows a tapping mode AFM image of a self-assembled</w:t>
      </w:r>
      <w:r>
        <w:rPr>
          <w:spacing w:val="-2"/>
        </w:rPr>
        <w:t> </w:t>
      </w:r>
      <w:r>
        <w:rPr/>
        <w:t>peptide.</w:t>
      </w:r>
    </w:p>
    <w:p>
      <w:pPr>
        <w:pStyle w:val="BodyText"/>
        <w:spacing w:before="10"/>
        <w:rPr>
          <w:sz w:val="14"/>
        </w:rPr>
      </w:pPr>
      <w:r>
        <w:rPr/>
        <w:drawing>
          <wp:anchor distT="0" distB="0" distL="0" distR="0" allowOverlap="1" layoutInCell="1" locked="0" behindDoc="0" simplePos="0" relativeHeight="274">
            <wp:simplePos x="0" y="0"/>
            <wp:positionH relativeFrom="page">
              <wp:posOffset>1290523</wp:posOffset>
            </wp:positionH>
            <wp:positionV relativeFrom="paragraph">
              <wp:posOffset>133748</wp:posOffset>
            </wp:positionV>
            <wp:extent cx="5215148" cy="2403157"/>
            <wp:effectExtent l="0" t="0" r="0" b="0"/>
            <wp:wrapTopAndBottom/>
            <wp:docPr id="253" name="image131.jpeg" descr="Figure 20.4.tif"/>
            <wp:cNvGraphicFramePr>
              <a:graphicFrameLocks noChangeAspect="1"/>
            </wp:cNvGraphicFramePr>
            <a:graphic>
              <a:graphicData uri="http://schemas.openxmlformats.org/drawingml/2006/picture">
                <pic:pic>
                  <pic:nvPicPr>
                    <pic:cNvPr id="254" name="image131.jpeg"/>
                    <pic:cNvPicPr/>
                  </pic:nvPicPr>
                  <pic:blipFill>
                    <a:blip r:embed="rId141" cstate="print"/>
                    <a:stretch>
                      <a:fillRect/>
                    </a:stretch>
                  </pic:blipFill>
                  <pic:spPr>
                    <a:xfrm>
                      <a:off x="0" y="0"/>
                      <a:ext cx="5215148" cy="2403157"/>
                    </a:xfrm>
                    <a:prstGeom prst="rect">
                      <a:avLst/>
                    </a:prstGeom>
                  </pic:spPr>
                </pic:pic>
              </a:graphicData>
            </a:graphic>
          </wp:anchor>
        </w:drawing>
      </w:r>
    </w:p>
    <w:p>
      <w:pPr>
        <w:pStyle w:val="BodyText"/>
        <w:spacing w:before="9"/>
        <w:rPr>
          <w:sz w:val="23"/>
        </w:rPr>
      </w:pPr>
    </w:p>
    <w:p>
      <w:pPr>
        <w:spacing w:line="362" w:lineRule="auto" w:before="0"/>
        <w:ind w:left="496" w:right="443" w:firstLine="0"/>
        <w:jc w:val="left"/>
        <w:rPr>
          <w:b/>
          <w:sz w:val="16"/>
        </w:rPr>
      </w:pPr>
      <w:r>
        <w:rPr>
          <w:b/>
          <w:sz w:val="16"/>
        </w:rPr>
        <w:t>Figure 20.5 A height-mode AFM image of a self-assembled peptide (A). Height of the fibers indicated by blue crosses  in panel A</w:t>
      </w:r>
      <w:r>
        <w:rPr>
          <w:b/>
          <w:spacing w:val="-3"/>
          <w:sz w:val="16"/>
        </w:rPr>
        <w:t> </w:t>
      </w:r>
      <w:r>
        <w:rPr>
          <w:b/>
          <w:sz w:val="16"/>
        </w:rPr>
        <w:t>(B).</w:t>
      </w:r>
    </w:p>
    <w:p>
      <w:pPr>
        <w:pStyle w:val="BodyText"/>
        <w:rPr>
          <w:b/>
          <w:sz w:val="17"/>
        </w:rPr>
      </w:pPr>
    </w:p>
    <w:p>
      <w:pPr>
        <w:pStyle w:val="BodyText"/>
        <w:spacing w:line="360" w:lineRule="auto"/>
        <w:ind w:left="300" w:right="316"/>
        <w:jc w:val="both"/>
      </w:pPr>
      <w:r>
        <w:rPr>
          <w:i/>
        </w:rPr>
        <w:t>Cell biology: </w:t>
      </w:r>
      <w:r>
        <w:rPr/>
        <w:t>Owing to its ability to operate on liquid samples, AFM has been used to study the real-time biological processes. Migrating epithelial cells, dynamics of membrane invaginations, conformational changes in membrane proteins, and assembly/disassembly of structural proteins have been studied in real time using AFM.</w:t>
      </w:r>
    </w:p>
    <w:p>
      <w:pPr>
        <w:pStyle w:val="BodyText"/>
        <w:spacing w:line="360" w:lineRule="auto" w:before="198"/>
        <w:ind w:left="299" w:right="315"/>
        <w:jc w:val="both"/>
      </w:pPr>
      <w:r>
        <w:rPr>
          <w:i/>
        </w:rPr>
        <w:t>Nucleic acid research: </w:t>
      </w:r>
      <w:r>
        <w:rPr/>
        <w:t>AFM has slowly emerged as a powerful tool to analyze the structures of the nucleic acids and the various processes they are involved in. Three- way and four-way DNA junctions have been analyzed using AFM. Time-lapse AFM imaging has been used to study the mechanism of branch migration in the four-way DNA junctions. Molecular processes like DNA replication, transcription, translation, and DNA-protein interactions have been studied using time-resolved AFM imaging. Exploiting their highly-specific assembly, nucleic acids have been designed to obtain ordered self-assembled structures that have been characterized using AFM.</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5"/>
        <w:jc w:val="both"/>
      </w:pPr>
      <w:r>
        <w:rPr>
          <w:i/>
        </w:rPr>
        <w:t>Force spectroscopy: </w:t>
      </w:r>
      <w:r>
        <w:rPr/>
        <w:t>In force spectroscopic mode, the cantilever is made to approach the specimen and retracted back as discussed in previous lecture (Figure 19.5). The force between cantilever and the specimen is plotted against the cantilever deflection. The force curve thus obtained contains the information about tip-sample interaction (attraction/repulsion between tip and the specimen). Force spectroscopy also allows determination of mechanical properties such as elasticity and rigidity. Force spectroscopic curves generated from an array of points on the specimen therefore allow mapping of the mechanical properties in the specimen.</w:t>
      </w:r>
    </w:p>
    <w:p>
      <w:pPr>
        <w:pStyle w:val="BodyText"/>
        <w:spacing w:line="360" w:lineRule="auto" w:before="200"/>
        <w:ind w:left="300" w:right="317"/>
        <w:jc w:val="both"/>
      </w:pPr>
      <w:r>
        <w:rPr>
          <w:i/>
        </w:rPr>
        <w:t>Biomolecular interaction: </w:t>
      </w:r>
      <w:r>
        <w:rPr/>
        <w:t>Biomolecular interactions can be studied by labeling the AFM probe with the ligand for the receptor biomolecule under study. The tip approaches the sample that results in the binding of ligand to the receptor. The cantilever is then retracted back; binding of the ligand to the receptors resists the retraction of the cantilever. At a critical force, however, the bonds between the ligand and the receptor are broken allowing measuring of the adhesion forces.</w:t>
      </w:r>
    </w:p>
    <w:p>
      <w:pPr>
        <w:pStyle w:val="BodyText"/>
        <w:spacing w:line="360" w:lineRule="auto" w:before="199"/>
        <w:ind w:left="300" w:right="316"/>
        <w:jc w:val="both"/>
      </w:pPr>
      <w:r>
        <w:rPr>
          <w:i/>
        </w:rPr>
        <w:t>Protein unfolding: </w:t>
      </w:r>
      <w:r>
        <w:rPr/>
        <w:t>AFM has been used to study the mechanical unfolding of proteins. A polyprotein with terminal cysteine residues is deposited on the gold substrate; gold- sulphur bonds anchor the polyprotein molecules to the substrate. An AFM tip approaches the specimen in an attempt to adsorb a polyprotein molecule. Adsorption of the polyprotein opposes the tip retraction applying a force on the cantilever. As the cantilever is retracted further, a polyprotein molecule unfolds decreasing the force. A typical force trace showing unfolding is shown in figure 20.6.</w:t>
      </w:r>
    </w:p>
    <w:p>
      <w:pPr>
        <w:pStyle w:val="BodyText"/>
        <w:spacing w:before="4"/>
        <w:rPr>
          <w:sz w:val="17"/>
        </w:rPr>
      </w:pPr>
      <w:r>
        <w:rPr/>
        <w:drawing>
          <wp:anchor distT="0" distB="0" distL="0" distR="0" allowOverlap="1" layoutInCell="1" locked="0" behindDoc="0" simplePos="0" relativeHeight="275">
            <wp:simplePos x="0" y="0"/>
            <wp:positionH relativeFrom="page">
              <wp:posOffset>1307322</wp:posOffset>
            </wp:positionH>
            <wp:positionV relativeFrom="paragraph">
              <wp:posOffset>151906</wp:posOffset>
            </wp:positionV>
            <wp:extent cx="5065403" cy="1566672"/>
            <wp:effectExtent l="0" t="0" r="0" b="0"/>
            <wp:wrapTopAndBottom/>
            <wp:docPr id="255" name="image132.jpeg" descr="Figure 20.5.tif"/>
            <wp:cNvGraphicFramePr>
              <a:graphicFrameLocks noChangeAspect="1"/>
            </wp:cNvGraphicFramePr>
            <a:graphic>
              <a:graphicData uri="http://schemas.openxmlformats.org/drawingml/2006/picture">
                <pic:pic>
                  <pic:nvPicPr>
                    <pic:cNvPr id="256" name="image132.jpeg"/>
                    <pic:cNvPicPr/>
                  </pic:nvPicPr>
                  <pic:blipFill>
                    <a:blip r:embed="rId142" cstate="print"/>
                    <a:stretch>
                      <a:fillRect/>
                    </a:stretch>
                  </pic:blipFill>
                  <pic:spPr>
                    <a:xfrm>
                      <a:off x="0" y="0"/>
                      <a:ext cx="5065403" cy="1566672"/>
                    </a:xfrm>
                    <a:prstGeom prst="rect">
                      <a:avLst/>
                    </a:prstGeom>
                  </pic:spPr>
                </pic:pic>
              </a:graphicData>
            </a:graphic>
          </wp:anchor>
        </w:drawing>
      </w:r>
    </w:p>
    <w:p>
      <w:pPr>
        <w:pStyle w:val="BodyText"/>
        <w:spacing w:before="3"/>
        <w:rPr>
          <w:sz w:val="30"/>
        </w:rPr>
      </w:pPr>
    </w:p>
    <w:p>
      <w:pPr>
        <w:spacing w:before="0"/>
        <w:ind w:left="792" w:right="617" w:firstLine="0"/>
        <w:jc w:val="center"/>
        <w:rPr>
          <w:b/>
          <w:sz w:val="16"/>
        </w:rPr>
      </w:pPr>
      <w:r>
        <w:rPr>
          <w:b/>
          <w:sz w:val="16"/>
        </w:rPr>
        <w:t>Figure 20.6 Protein unfolding scheme of a polyprotein (A), and a typical force curve (B).</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6"/>
        <w:jc w:val="both"/>
      </w:pPr>
      <w:r>
        <w:rPr>
          <w:i/>
        </w:rPr>
        <w:t>Nanoindentation and mechanical manipulation: </w:t>
      </w:r>
      <w:r>
        <w:rPr/>
        <w:t>Nanoindentation is used to determine the mechanical properties of thin samples and soft materials such as biological specimens. The cantilever with a defined force is pressed against the specimen. The cantilever is not usually stiff enough to indent very hard surfaces such as metals. The softer samples, however, are indented by the tip. The indentation depth is proportional to the applied force and depends on the hardness of the specimen.</w:t>
      </w:r>
    </w:p>
    <w:p>
      <w:pPr>
        <w:pStyle w:val="BodyText"/>
        <w:spacing w:line="360" w:lineRule="auto" w:before="200"/>
        <w:ind w:left="300" w:right="315"/>
        <w:jc w:val="both"/>
      </w:pPr>
      <w:r>
        <w:rPr>
          <w:i/>
        </w:rPr>
        <w:t>Nanofabrication: </w:t>
      </w:r>
      <w:r>
        <w:rPr/>
        <w:t>An AFM probe has been successfully utilized to oxidize the metal and semiconductor surfaces. An electric potential is applied on the tip that can oxidize the suitably prepared specimen. This holds potential for preparing microelectronic components.</w:t>
      </w:r>
    </w:p>
    <w:p>
      <w:pPr>
        <w:pStyle w:val="BodyText"/>
        <w:spacing w:line="360" w:lineRule="auto" w:before="201"/>
        <w:ind w:left="300" w:right="317"/>
        <w:jc w:val="both"/>
      </w:pPr>
      <w:r>
        <w:rPr>
          <w:i/>
        </w:rPr>
        <w:t>Detection of defects: </w:t>
      </w:r>
      <w:r>
        <w:rPr/>
        <w:t>AFM can be used to determine the cracks and other deformations in the materials, </w:t>
      </w:r>
      <w:r>
        <w:rPr>
          <w:i/>
        </w:rPr>
        <w:t>e.g. </w:t>
      </w:r>
      <w:r>
        <w:rPr/>
        <w:t>detection of defects in the semiconductor materials and electronic chips and circuits.</w:t>
      </w:r>
    </w:p>
    <w:p>
      <w:pPr>
        <w:spacing w:after="0" w:line="360" w:lineRule="auto"/>
        <w:jc w:val="both"/>
        <w:sectPr>
          <w:pgSz w:w="11910" w:h="16840"/>
          <w:pgMar w:header="722" w:footer="748" w:top="1300" w:bottom="940" w:left="1500" w:right="1480"/>
        </w:sectPr>
      </w:pPr>
    </w:p>
    <w:p>
      <w:pPr>
        <w:pStyle w:val="Heading2"/>
        <w:spacing w:line="408" w:lineRule="auto"/>
        <w:ind w:left="299" w:right="3571"/>
        <w:jc w:val="left"/>
      </w:pPr>
      <w:r>
        <w:rPr/>
        <w:t>Module 4 Electrophoretic techniques Lecture 21 Basics of Electrophoresis</w:t>
      </w:r>
    </w:p>
    <w:p>
      <w:pPr>
        <w:pStyle w:val="BodyText"/>
        <w:spacing w:line="360" w:lineRule="auto"/>
        <w:ind w:left="300" w:right="315" w:firstLine="60"/>
        <w:jc w:val="both"/>
      </w:pPr>
      <w:r>
        <w:rPr/>
        <w:t>“Electrophoresis” literally means running in the electric field. The charged molecule moves to their counter charge electrodes but electric field is removed before it reaches the electrode. Movement of charged species in an electric field gives differential mobility to the sample based on the charge and consequently resolve them. Movement of the charged particle is retarded with the addition a polymeric gel so that a sufficient time is available for resolving the sample. The polymeric gel is inert, uncharged and does not cause retardation by binding the molecule. Instead it, forms pores of different size (depending on the concentration of polymer) and sample pass through these pore and as a result their electrophoretic mobility is reduced (Figure 21.1).</w:t>
      </w:r>
    </w:p>
    <w:p>
      <w:pPr>
        <w:pStyle w:val="BodyText"/>
        <w:spacing w:before="8"/>
        <w:rPr>
          <w:sz w:val="13"/>
        </w:rPr>
      </w:pPr>
      <w:r>
        <w:rPr/>
        <w:drawing>
          <wp:anchor distT="0" distB="0" distL="0" distR="0" allowOverlap="1" layoutInCell="1" locked="0" behindDoc="0" simplePos="0" relativeHeight="276">
            <wp:simplePos x="0" y="0"/>
            <wp:positionH relativeFrom="page">
              <wp:posOffset>1173220</wp:posOffset>
            </wp:positionH>
            <wp:positionV relativeFrom="paragraph">
              <wp:posOffset>125370</wp:posOffset>
            </wp:positionV>
            <wp:extent cx="5226850" cy="2785872"/>
            <wp:effectExtent l="0" t="0" r="0" b="0"/>
            <wp:wrapTopAndBottom/>
            <wp:docPr id="257" name="image133.png"/>
            <wp:cNvGraphicFramePr>
              <a:graphicFrameLocks noChangeAspect="1"/>
            </wp:cNvGraphicFramePr>
            <a:graphic>
              <a:graphicData uri="http://schemas.openxmlformats.org/drawingml/2006/picture">
                <pic:pic>
                  <pic:nvPicPr>
                    <pic:cNvPr id="258" name="image133.png"/>
                    <pic:cNvPicPr/>
                  </pic:nvPicPr>
                  <pic:blipFill>
                    <a:blip r:embed="rId145" cstate="print"/>
                    <a:stretch>
                      <a:fillRect/>
                    </a:stretch>
                  </pic:blipFill>
                  <pic:spPr>
                    <a:xfrm>
                      <a:off x="0" y="0"/>
                      <a:ext cx="5226850" cy="2785872"/>
                    </a:xfrm>
                    <a:prstGeom prst="rect">
                      <a:avLst/>
                    </a:prstGeom>
                  </pic:spPr>
                </pic:pic>
              </a:graphicData>
            </a:graphic>
          </wp:anchor>
        </w:drawing>
      </w:r>
    </w:p>
    <w:p>
      <w:pPr>
        <w:pStyle w:val="BodyText"/>
        <w:spacing w:before="10"/>
        <w:rPr>
          <w:sz w:val="25"/>
        </w:rPr>
      </w:pPr>
    </w:p>
    <w:p>
      <w:pPr>
        <w:spacing w:before="1"/>
        <w:ind w:left="598" w:right="617" w:firstLine="0"/>
        <w:jc w:val="center"/>
        <w:rPr>
          <w:b/>
          <w:sz w:val="16"/>
        </w:rPr>
      </w:pPr>
      <w:r>
        <w:rPr>
          <w:b/>
          <w:sz w:val="16"/>
        </w:rPr>
        <w:t>Figure 21.1: Movement of the charged particle in an external field.</w:t>
      </w:r>
    </w:p>
    <w:p>
      <w:pPr>
        <w:spacing w:after="0"/>
        <w:jc w:val="center"/>
        <w:rPr>
          <w:sz w:val="16"/>
        </w:rPr>
        <w:sectPr>
          <w:headerReference w:type="default" r:id="rId143"/>
          <w:footerReference w:type="default" r:id="rId144"/>
          <w:pgSz w:w="11910" w:h="16840"/>
          <w:pgMar w:header="722" w:footer="748" w:top="1300" w:bottom="940" w:left="1500" w:right="1480"/>
          <w:pgNumType w:start="1"/>
        </w:sectPr>
      </w:pPr>
    </w:p>
    <w:p>
      <w:pPr>
        <w:pStyle w:val="BodyText"/>
        <w:spacing w:line="360" w:lineRule="auto" w:before="119"/>
        <w:ind w:left="300" w:right="315"/>
        <w:jc w:val="both"/>
      </w:pPr>
      <w:r>
        <w:rPr/>
        <w:t>Suppose a charged particle has net charge </w:t>
      </w:r>
      <w:r>
        <w:rPr>
          <w:b/>
        </w:rPr>
        <w:t>Q </w:t>
      </w:r>
      <w:r>
        <w:rPr/>
        <w:t>and the external electric field is </w:t>
      </w:r>
      <w:r>
        <w:rPr>
          <w:b/>
        </w:rPr>
        <w:t>E</w:t>
      </w:r>
      <w:r>
        <w:rPr/>
        <w:t>, then the force </w:t>
      </w:r>
      <w:r>
        <w:rPr>
          <w:b/>
        </w:rPr>
        <w:t>F </w:t>
      </w:r>
      <w:r>
        <w:rPr/>
        <w:t>responsible for giving electrophoretic mobility,</w:t>
      </w:r>
    </w:p>
    <w:p>
      <w:pPr>
        <w:pStyle w:val="Heading4"/>
        <w:tabs>
          <w:tab w:pos="6631" w:val="left" w:leader="dot"/>
        </w:tabs>
        <w:spacing w:before="204"/>
        <w:ind w:left="1740"/>
        <w:jc w:val="left"/>
      </w:pPr>
      <w:r>
        <w:rPr/>
        <w:t>F=</w:t>
      </w:r>
      <w:r>
        <w:rPr>
          <w:spacing w:val="-1"/>
        </w:rPr>
        <w:t> </w:t>
      </w:r>
      <w:r>
        <w:rPr/>
        <w:t>Q.E</w:t>
        <w:tab/>
        <w:t>Eq (21.1)</w:t>
      </w:r>
    </w:p>
    <w:p>
      <w:pPr>
        <w:pStyle w:val="BodyText"/>
        <w:rPr>
          <w:b/>
          <w:sz w:val="29"/>
        </w:rPr>
      </w:pPr>
    </w:p>
    <w:p>
      <w:pPr>
        <w:pStyle w:val="BodyText"/>
        <w:spacing w:line="360" w:lineRule="auto" w:before="1"/>
        <w:ind w:left="300" w:right="316"/>
        <w:jc w:val="both"/>
      </w:pPr>
      <w:r>
        <w:rPr/>
        <w:t>The friction forces F which is opposing the movement of the charged particle is as follows</w:t>
      </w:r>
    </w:p>
    <w:p>
      <w:pPr>
        <w:tabs>
          <w:tab w:pos="6523" w:val="left" w:leader="dot"/>
        </w:tabs>
        <w:spacing w:before="199"/>
        <w:ind w:left="1740" w:right="0" w:firstLine="0"/>
        <w:jc w:val="left"/>
        <w:rPr>
          <w:sz w:val="24"/>
        </w:rPr>
      </w:pPr>
      <w:r>
        <w:rPr>
          <w:b/>
          <w:i/>
          <w:sz w:val="24"/>
        </w:rPr>
        <w:t>F</w:t>
      </w:r>
      <w:r>
        <w:rPr>
          <w:b/>
          <w:sz w:val="24"/>
        </w:rPr>
        <w:t>= ƒ. </w:t>
      </w:r>
      <w:r>
        <w:rPr>
          <w:b/>
          <w:i/>
          <w:sz w:val="24"/>
        </w:rPr>
        <w:t>v</w:t>
        <w:tab/>
      </w:r>
      <w:r>
        <w:rPr>
          <w:b/>
          <w:sz w:val="24"/>
        </w:rPr>
        <w:t>Eq</w:t>
      </w:r>
      <w:r>
        <w:rPr>
          <w:b/>
          <w:spacing w:val="-1"/>
          <w:sz w:val="24"/>
        </w:rPr>
        <w:t> </w:t>
      </w:r>
      <w:r>
        <w:rPr>
          <w:b/>
          <w:sz w:val="24"/>
        </w:rPr>
        <w:t>(21.2)</w:t>
      </w:r>
      <w:r>
        <w:rPr>
          <w:sz w:val="24"/>
        </w:rPr>
        <w:t>,</w:t>
      </w:r>
    </w:p>
    <w:p>
      <w:pPr>
        <w:pStyle w:val="BodyText"/>
        <w:spacing w:before="5"/>
        <w:rPr>
          <w:sz w:val="29"/>
        </w:rPr>
      </w:pPr>
    </w:p>
    <w:p>
      <w:pPr>
        <w:pStyle w:val="BodyText"/>
        <w:spacing w:line="360" w:lineRule="auto"/>
        <w:ind w:left="300" w:right="313"/>
        <w:jc w:val="both"/>
      </w:pPr>
      <w:r>
        <w:rPr/>
        <w:t>here ƒ is the friction coefficient and the </w:t>
      </w:r>
      <w:r>
        <w:rPr>
          <w:i/>
        </w:rPr>
        <w:t>v </w:t>
      </w:r>
      <w:r>
        <w:rPr/>
        <w:t>is the velocity of the electrophoretic mobility. The movement of a spherical through a liquid medium (gel) of the viscosity η, the friction coefficient ƒ is given by :</w:t>
      </w:r>
    </w:p>
    <w:p>
      <w:pPr>
        <w:tabs>
          <w:tab w:pos="7262" w:val="left" w:leader="dot"/>
        </w:tabs>
        <w:spacing w:before="205"/>
        <w:ind w:left="2150" w:right="0" w:firstLine="0"/>
        <w:jc w:val="both"/>
        <w:rPr>
          <w:b/>
          <w:sz w:val="24"/>
        </w:rPr>
      </w:pPr>
      <w:r>
        <w:rPr>
          <w:b/>
          <w:i/>
          <w:sz w:val="24"/>
        </w:rPr>
        <w:t>ƒ</w:t>
      </w:r>
      <w:r>
        <w:rPr>
          <w:b/>
          <w:i/>
          <w:spacing w:val="3"/>
          <w:sz w:val="24"/>
        </w:rPr>
        <w:t> </w:t>
      </w:r>
      <w:r>
        <w:rPr>
          <w:b/>
          <w:i/>
          <w:sz w:val="24"/>
        </w:rPr>
        <w:t>=</w:t>
      </w:r>
      <w:r>
        <w:rPr>
          <w:b/>
          <w:i/>
          <w:spacing w:val="4"/>
          <w:sz w:val="24"/>
        </w:rPr>
        <w:t> </w:t>
      </w:r>
      <w:r>
        <w:rPr>
          <w:b/>
          <w:i/>
          <w:sz w:val="24"/>
        </w:rPr>
        <w:t>6Πηrv</w:t>
        <w:tab/>
      </w:r>
      <w:r>
        <w:rPr>
          <w:b/>
          <w:sz w:val="24"/>
        </w:rPr>
        <w:t>Eq (21.3)</w:t>
      </w:r>
    </w:p>
    <w:p>
      <w:pPr>
        <w:pStyle w:val="BodyText"/>
        <w:rPr>
          <w:b/>
          <w:sz w:val="29"/>
        </w:rPr>
      </w:pPr>
    </w:p>
    <w:p>
      <w:pPr>
        <w:spacing w:before="0"/>
        <w:ind w:left="300" w:right="0" w:firstLine="0"/>
        <w:jc w:val="both"/>
        <w:rPr>
          <w:b/>
          <w:i/>
          <w:sz w:val="24"/>
        </w:rPr>
      </w:pPr>
      <w:r>
        <w:rPr>
          <w:sz w:val="24"/>
        </w:rPr>
        <w:t>The place where, F=</w:t>
      </w:r>
      <w:r>
        <w:rPr>
          <w:i/>
          <w:sz w:val="24"/>
        </w:rPr>
        <w:t>F </w:t>
      </w:r>
      <w:r>
        <w:rPr>
          <w:sz w:val="24"/>
        </w:rPr>
        <w:t>or QE=</w:t>
      </w:r>
      <w:r>
        <w:rPr>
          <w:b/>
          <w:i/>
          <w:sz w:val="24"/>
        </w:rPr>
        <w:t>6Πηrv</w:t>
      </w:r>
    </w:p>
    <w:p>
      <w:pPr>
        <w:pStyle w:val="BodyText"/>
        <w:rPr>
          <w:b/>
          <w:i/>
          <w:sz w:val="26"/>
        </w:rPr>
      </w:pPr>
    </w:p>
    <w:p>
      <w:pPr>
        <w:tabs>
          <w:tab w:pos="5339" w:val="left" w:leader="none"/>
        </w:tabs>
        <w:spacing w:before="200"/>
        <w:ind w:left="300" w:right="0" w:firstLine="0"/>
        <w:jc w:val="both"/>
        <w:rPr>
          <w:rFonts w:ascii="Symbola" w:eastAsia="Symbola"/>
          <w:sz w:val="26"/>
        </w:rPr>
      </w:pPr>
      <w:r>
        <w:rPr/>
        <w:pict>
          <v:rect style="position:absolute;margin-left:376.200012pt;margin-top:18.355219pt;width:31.56pt;height:1.2pt;mso-position-horizontal-relative:page;mso-position-vertical-relative:paragraph;z-index:-18397184" filled="true" fillcolor="#000000" stroked="false">
            <v:fill type="solid"/>
            <w10:wrap type="none"/>
          </v:rect>
        </w:pict>
      </w:r>
      <w:r>
        <w:rPr/>
        <w:pict>
          <v:shape style="position:absolute;margin-left:387.359985pt;margin-top:1.240688pt;width:9.25pt;height:15.2pt;mso-position-horizontal-relative:page;mso-position-vertical-relative:paragraph;z-index:-18395648" type="#_x0000_t202" filled="false" stroked="false">
            <v:textbox inset="0,0,0,0">
              <w:txbxContent>
                <w:p>
                  <w:pPr>
                    <w:spacing w:before="42"/>
                    <w:ind w:left="0" w:right="0" w:firstLine="0"/>
                    <w:jc w:val="left"/>
                    <w:rPr>
                      <w:rFonts w:ascii="Symbola" w:eastAsia="Symbola"/>
                      <w:sz w:val="26"/>
                    </w:rPr>
                  </w:pPr>
                  <w:r>
                    <w:rPr>
                      <w:rFonts w:ascii="Symbola" w:eastAsia="Symbola"/>
                      <w:w w:val="125"/>
                      <w:sz w:val="26"/>
                    </w:rPr>
                    <w:t>𝐐</w:t>
                  </w:r>
                </w:p>
              </w:txbxContent>
            </v:textbox>
            <w10:wrap type="none"/>
          </v:shape>
        </w:pict>
      </w:r>
      <w:r>
        <w:rPr>
          <w:sz w:val="24"/>
        </w:rPr>
        <w:t>The electrophoretic mobility </w:t>
      </w:r>
      <w:r>
        <w:rPr>
          <w:i/>
          <w:sz w:val="24"/>
        </w:rPr>
        <w:t>v </w:t>
      </w:r>
      <w:r>
        <w:rPr>
          <w:sz w:val="24"/>
        </w:rPr>
        <w:t>is</w:t>
      </w:r>
      <w:r>
        <w:rPr>
          <w:spacing w:val="-12"/>
          <w:sz w:val="24"/>
        </w:rPr>
        <w:t> </w:t>
      </w:r>
      <w:r>
        <w:rPr>
          <w:sz w:val="24"/>
        </w:rPr>
        <w:t>given</w:t>
      </w:r>
      <w:r>
        <w:rPr>
          <w:spacing w:val="-1"/>
          <w:sz w:val="24"/>
        </w:rPr>
        <w:t> </w:t>
      </w:r>
      <w:r>
        <w:rPr>
          <w:sz w:val="24"/>
        </w:rPr>
        <w:t>by:</w:t>
        <w:tab/>
      </w:r>
      <w:r>
        <w:rPr>
          <w:rFonts w:ascii="Symbola" w:eastAsia="Symbola"/>
          <w:sz w:val="36"/>
        </w:rPr>
        <w:t>𝒗 =</w:t>
      </w:r>
      <w:r>
        <w:rPr>
          <w:rFonts w:ascii="Symbola" w:eastAsia="Symbola"/>
          <w:spacing w:val="22"/>
          <w:sz w:val="36"/>
        </w:rPr>
        <w:t> </w:t>
      </w:r>
      <w:r>
        <w:rPr>
          <w:rFonts w:ascii="Symbola" w:eastAsia="Symbola"/>
          <w:position w:val="-17"/>
          <w:sz w:val="26"/>
        </w:rPr>
        <w:t>𝟔𝚷𝛈𝐫</w:t>
      </w:r>
    </w:p>
    <w:p>
      <w:pPr>
        <w:pStyle w:val="BodyText"/>
        <w:rPr>
          <w:rFonts w:ascii="Symbola"/>
          <w:sz w:val="17"/>
        </w:rPr>
      </w:pPr>
    </w:p>
    <w:p>
      <w:pPr>
        <w:pStyle w:val="BodyText"/>
        <w:spacing w:line="276" w:lineRule="auto" w:before="90"/>
        <w:ind w:left="248" w:right="268"/>
        <w:jc w:val="center"/>
      </w:pPr>
      <w:r>
        <w:rPr/>
        <w:t>As Q=ze, where z is the valency and e is the electronic charge, the electrophoretic mobility can be expressed as:</w:t>
      </w:r>
    </w:p>
    <w:p>
      <w:pPr>
        <w:pStyle w:val="Heading1"/>
        <w:tabs>
          <w:tab w:pos="933" w:val="left" w:leader="none"/>
        </w:tabs>
        <w:spacing w:line="199" w:lineRule="auto"/>
        <w:ind w:right="268"/>
        <w:jc w:val="center"/>
      </w:pPr>
      <w:r>
        <w:rPr/>
        <w:pict>
          <v:rect style="position:absolute;margin-left:292.920013pt;margin-top:21.930632pt;width:43.8pt;height:1.2pt;mso-position-horizontal-relative:page;mso-position-vertical-relative:paragraph;z-index:-18396672" filled="true" fillcolor="#000000" stroked="false">
            <v:fill type="solid"/>
            <w10:wrap type="none"/>
          </v:rect>
        </w:pict>
      </w:r>
      <w:r>
        <w:rPr>
          <w:position w:val="-26"/>
        </w:rPr>
        <w:t>𝒗</w:t>
      </w:r>
      <w:r>
        <w:rPr>
          <w:spacing w:val="8"/>
          <w:position w:val="-26"/>
        </w:rPr>
        <w:t> </w:t>
      </w:r>
      <w:r>
        <w:rPr>
          <w:position w:val="-26"/>
        </w:rPr>
        <w:t>=</w:t>
        <w:tab/>
      </w:r>
      <w:r>
        <w:rPr/>
        <w:t>𝐳𝐞</w:t>
      </w:r>
    </w:p>
    <w:p>
      <w:pPr>
        <w:spacing w:line="303" w:lineRule="exact" w:before="0"/>
        <w:ind w:left="1285" w:right="617" w:firstLine="0"/>
        <w:jc w:val="center"/>
        <w:rPr>
          <w:rFonts w:ascii="Symbola" w:eastAsia="Symbola"/>
          <w:sz w:val="36"/>
        </w:rPr>
      </w:pPr>
      <w:r>
        <w:rPr>
          <w:rFonts w:ascii="Symbola" w:eastAsia="Symbola"/>
          <w:w w:val="110"/>
          <w:sz w:val="36"/>
        </w:rPr>
        <w:t>𝟔𝚷𝛈𝐫</w:t>
      </w:r>
    </w:p>
    <w:p>
      <w:pPr>
        <w:pStyle w:val="BodyText"/>
        <w:spacing w:line="360" w:lineRule="auto" w:before="209"/>
        <w:ind w:left="300" w:right="313"/>
        <w:jc w:val="both"/>
      </w:pPr>
      <w:r>
        <w:rPr/>
        <w:t>Hence, electrophoretic mobility </w:t>
      </w:r>
      <w:r>
        <w:rPr>
          <w:i/>
        </w:rPr>
        <w:t>v </w:t>
      </w:r>
      <w:r>
        <w:rPr/>
        <w:t>is directly proportional to the charge and inversely proportional to the viscosity of the medium, size and shape of the molecule. In the case of relative mobility, it is directly related to the charge/radius of the molecule. For a globular protein, the radius (r) of the molecule is related to the molecular mass of the macromolecule. The relative mobility, </w:t>
      </w:r>
      <w:r>
        <w:rPr>
          <w:i/>
        </w:rPr>
        <w:t>v’ </w:t>
      </w:r>
      <w:r>
        <w:rPr/>
        <w:t>is as</w:t>
      </w:r>
      <w:r>
        <w:rPr>
          <w:spacing w:val="-3"/>
        </w:rPr>
        <w:t> </w:t>
      </w:r>
      <w:r>
        <w:rPr/>
        <w:t>follows</w:t>
      </w:r>
    </w:p>
    <w:p>
      <w:pPr>
        <w:pStyle w:val="BodyText"/>
        <w:spacing w:before="6"/>
        <w:rPr>
          <w:sz w:val="20"/>
        </w:rPr>
      </w:pPr>
    </w:p>
    <w:p>
      <w:pPr>
        <w:tabs>
          <w:tab w:pos="5239" w:val="left" w:leader="dot"/>
        </w:tabs>
        <w:spacing w:line="441" w:lineRule="exact" w:before="1"/>
        <w:ind w:left="0" w:right="19" w:firstLine="0"/>
        <w:jc w:val="center"/>
        <w:rPr>
          <w:b/>
          <w:sz w:val="24"/>
        </w:rPr>
      </w:pPr>
      <w:r>
        <w:rPr/>
        <w:pict>
          <v:rect style="position:absolute;margin-left:182.160004pt;margin-top:14.98433pt;width:43.08pt;height:1.2pt;mso-position-horizontal-relative:page;mso-position-vertical-relative:paragraph;z-index:-18396160" filled="true" fillcolor="#000000" stroked="false">
            <v:fill type="solid"/>
            <w10:wrap type="none"/>
          </v:rect>
        </w:pict>
      </w:r>
      <w:r>
        <w:rPr>
          <w:rFonts w:ascii="Symbola" w:hAnsi="Symbola" w:eastAsia="Symbola"/>
          <w:sz w:val="36"/>
        </w:rPr>
        <w:t>𝒗′</w:t>
      </w:r>
      <w:r>
        <w:rPr>
          <w:rFonts w:ascii="Symbola" w:hAnsi="Symbola" w:eastAsia="Symbola"/>
          <w:spacing w:val="4"/>
          <w:sz w:val="36"/>
        </w:rPr>
        <w:t> </w:t>
      </w:r>
      <w:r>
        <w:rPr>
          <w:rFonts w:ascii="Symbola" w:hAnsi="Symbola" w:eastAsia="Symbola"/>
          <w:sz w:val="36"/>
        </w:rPr>
        <w:t>=</w:t>
      </w:r>
      <w:r>
        <w:rPr>
          <w:rFonts w:ascii="Symbola" w:hAnsi="Symbola" w:eastAsia="Symbola"/>
          <w:spacing w:val="7"/>
          <w:sz w:val="36"/>
        </w:rPr>
        <w:t> </w:t>
      </w:r>
      <w:r>
        <w:rPr>
          <w:rFonts w:ascii="Symbola" w:hAnsi="Symbola" w:eastAsia="Symbola"/>
          <w:position w:val="21"/>
          <w:sz w:val="26"/>
        </w:rPr>
        <w:t>𝐂𝐡𝐚𝐫𝐠𝐞</w:t>
        <w:tab/>
      </w:r>
      <w:r>
        <w:rPr>
          <w:b/>
          <w:sz w:val="24"/>
        </w:rPr>
        <w:t>Eq (21.4)</w:t>
      </w:r>
    </w:p>
    <w:p>
      <w:pPr>
        <w:pStyle w:val="Heading3"/>
        <w:spacing w:line="209" w:lineRule="exact"/>
        <w:ind w:left="2260"/>
      </w:pPr>
      <w:r>
        <w:rPr>
          <w:w w:val="105"/>
        </w:rPr>
        <w:t>𝐦𝐚𝐬𝐬</w:t>
      </w:r>
    </w:p>
    <w:p>
      <w:pPr>
        <w:pStyle w:val="BodyText"/>
        <w:spacing w:line="360" w:lineRule="auto" w:before="204"/>
        <w:ind w:left="300" w:right="317"/>
        <w:jc w:val="both"/>
      </w:pPr>
      <w:r>
        <w:rPr>
          <w:b/>
        </w:rPr>
        <w:t>Electrophoretic techniques: </w:t>
      </w:r>
      <w:r>
        <w:rPr/>
        <w:t>Different types of electrophoresis techniques are designed depending upon whether it carried out in the presence or absence of a supporting media.</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3"/>
        <w:jc w:val="both"/>
      </w:pPr>
      <w:r>
        <w:rPr>
          <w:b/>
        </w:rPr>
        <w:t>Moving boundary electrophoresis-</w:t>
      </w:r>
      <w:r>
        <w:rPr/>
        <w:t>In this method, the electrophoresis is carried in solution, without a supporting media. The sample is dissolved the buffer and molecules move to their respective counter charge electrodes. Moving boundary electrophoresis is carried out in a U shape tube with platinum electrodes attached to the end of both arms (Figure 21.2). At the respective ends, tube has refractometer to measure the change in refractive index of the buffer during electrophoresis due to presence of molecule. Sample is loaded in the middle of the U tube and then the apparatus is connected to the external power supply. Charged molecule moves to the opposite electrode as they passes through the refractometer, a change can be measured. As the desirable molecule passes, sample can be taken out from the apparatus along with the buffer.</w:t>
      </w:r>
    </w:p>
    <w:p>
      <w:pPr>
        <w:pStyle w:val="BodyText"/>
        <w:rPr>
          <w:sz w:val="20"/>
        </w:rPr>
      </w:pPr>
    </w:p>
    <w:p>
      <w:pPr>
        <w:pStyle w:val="BodyText"/>
        <w:rPr>
          <w:sz w:val="20"/>
        </w:rPr>
      </w:pPr>
    </w:p>
    <w:p>
      <w:pPr>
        <w:pStyle w:val="BodyText"/>
        <w:rPr>
          <w:sz w:val="28"/>
        </w:rPr>
      </w:pPr>
      <w:r>
        <w:rPr/>
        <w:drawing>
          <wp:anchor distT="0" distB="0" distL="0" distR="0" allowOverlap="1" layoutInCell="1" locked="0" behindDoc="0" simplePos="0" relativeHeight="281">
            <wp:simplePos x="0" y="0"/>
            <wp:positionH relativeFrom="page">
              <wp:posOffset>1205090</wp:posOffset>
            </wp:positionH>
            <wp:positionV relativeFrom="paragraph">
              <wp:posOffset>229575</wp:posOffset>
            </wp:positionV>
            <wp:extent cx="5153509" cy="4047744"/>
            <wp:effectExtent l="0" t="0" r="0" b="0"/>
            <wp:wrapTopAndBottom/>
            <wp:docPr id="259" name="image134.png"/>
            <wp:cNvGraphicFramePr>
              <a:graphicFrameLocks noChangeAspect="1"/>
            </wp:cNvGraphicFramePr>
            <a:graphic>
              <a:graphicData uri="http://schemas.openxmlformats.org/drawingml/2006/picture">
                <pic:pic>
                  <pic:nvPicPr>
                    <pic:cNvPr id="260" name="image134.png"/>
                    <pic:cNvPicPr/>
                  </pic:nvPicPr>
                  <pic:blipFill>
                    <a:blip r:embed="rId146" cstate="print"/>
                    <a:stretch>
                      <a:fillRect/>
                    </a:stretch>
                  </pic:blipFill>
                  <pic:spPr>
                    <a:xfrm>
                      <a:off x="0" y="0"/>
                      <a:ext cx="5153509" cy="4047744"/>
                    </a:xfrm>
                    <a:prstGeom prst="rect">
                      <a:avLst/>
                    </a:prstGeom>
                  </pic:spPr>
                </pic:pic>
              </a:graphicData>
            </a:graphic>
          </wp:anchor>
        </w:drawing>
      </w:r>
    </w:p>
    <w:p>
      <w:pPr>
        <w:pStyle w:val="BodyText"/>
        <w:spacing w:before="10"/>
        <w:rPr>
          <w:sz w:val="36"/>
        </w:rPr>
      </w:pPr>
    </w:p>
    <w:p>
      <w:pPr>
        <w:spacing w:before="0"/>
        <w:ind w:left="600" w:right="617" w:firstLine="0"/>
        <w:jc w:val="center"/>
        <w:rPr>
          <w:b/>
          <w:sz w:val="16"/>
        </w:rPr>
      </w:pPr>
      <w:r>
        <w:rPr>
          <w:b/>
          <w:sz w:val="16"/>
        </w:rPr>
        <w:t>Figure 21.2: Movement of the charged particle in a moving boundary electrophoresis.</w:t>
      </w:r>
    </w:p>
    <w:p>
      <w:pPr>
        <w:spacing w:after="0"/>
        <w:jc w:val="center"/>
        <w:rPr>
          <w:sz w:val="16"/>
        </w:rPr>
        <w:sectPr>
          <w:pgSz w:w="11910" w:h="16840"/>
          <w:pgMar w:header="722" w:footer="748" w:top="1300" w:bottom="940" w:left="1500" w:right="1480"/>
        </w:sectPr>
      </w:pPr>
    </w:p>
    <w:p>
      <w:pPr>
        <w:pStyle w:val="BodyText"/>
        <w:spacing w:line="360" w:lineRule="auto" w:before="119"/>
        <w:ind w:left="299" w:right="317"/>
        <w:jc w:val="both"/>
      </w:pPr>
      <w:r>
        <w:rPr>
          <w:b/>
        </w:rPr>
        <w:t>Disadvantages of Moving Boundary electrophoresis-</w:t>
      </w:r>
      <w:r>
        <w:rPr/>
        <w:t>The resolution of the technique is very low due to the mixing of the sample as well as over-lapping of the sample components. The electrophoresis technique is not good to separate and analyze the complex biological sample instead it can be used to study the behavior of the molecule in an electric</w:t>
      </w:r>
      <w:r>
        <w:rPr>
          <w:spacing w:val="-4"/>
        </w:rPr>
        <w:t> </w:t>
      </w:r>
      <w:r>
        <w:rPr/>
        <w:t>field.</w:t>
      </w:r>
    </w:p>
    <w:p>
      <w:pPr>
        <w:pStyle w:val="BodyText"/>
        <w:spacing w:line="360" w:lineRule="auto" w:before="201"/>
        <w:ind w:left="299" w:right="316"/>
        <w:jc w:val="both"/>
      </w:pPr>
      <w:r>
        <w:rPr>
          <w:b/>
        </w:rPr>
        <w:t>Zone electrophoresis-</w:t>
      </w:r>
      <w:r>
        <w:rPr/>
        <w:t>In this method, an inert polymeric supporting media is used between the electrodes to separate and analyze the sample. The supporting media used in zone electrophoresis are absorbent paper, gel of starch, agar and polyacrylamide. The presence of supporting media minimizes mixing of the sample and that makes the analysis and purification of the molecule from the gel much easier than the moving boundary electrophoresis. The gel electrophoresis is the best example of zone electrophoresis.</w:t>
      </w:r>
    </w:p>
    <w:p>
      <w:pPr>
        <w:pStyle w:val="Heading4"/>
        <w:spacing w:before="203"/>
        <w:ind w:left="299"/>
      </w:pPr>
      <w:r>
        <w:rPr/>
        <w:t>Gel electrophoresis:</w:t>
      </w:r>
    </w:p>
    <w:p>
      <w:pPr>
        <w:pStyle w:val="BodyText"/>
        <w:rPr>
          <w:b/>
          <w:sz w:val="29"/>
        </w:rPr>
      </w:pPr>
    </w:p>
    <w:p>
      <w:pPr>
        <w:pStyle w:val="BodyText"/>
        <w:spacing w:line="360" w:lineRule="auto"/>
        <w:ind w:left="299" w:right="317"/>
        <w:jc w:val="both"/>
      </w:pPr>
      <w:r>
        <w:rPr>
          <w:b/>
        </w:rPr>
        <w:t>Vertical Gel Electrophoresis: </w:t>
      </w:r>
      <w:r>
        <w:rPr/>
        <w:t>The electrophoresis in this system performed in a discontinuous way with buffer in the upper and lower tank connected by the gel slab. It has multiple modification in the running condition to answer multiple analytical questions.</w:t>
      </w:r>
    </w:p>
    <w:p>
      <w:pPr>
        <w:pStyle w:val="BodyText"/>
        <w:spacing w:line="360" w:lineRule="auto" w:before="202"/>
        <w:ind w:left="300" w:right="318"/>
        <w:jc w:val="both"/>
      </w:pPr>
      <w:r>
        <w:rPr>
          <w:b/>
        </w:rPr>
        <w:t>Horizontal Gel Electrophoresis: </w:t>
      </w:r>
      <w:r>
        <w:rPr/>
        <w:t>The electrophoresis in this susyem is performed in a continous way and the electrophoresis is performed in the horizontal</w:t>
      </w:r>
      <w:r>
        <w:rPr>
          <w:spacing w:val="-12"/>
        </w:rPr>
        <w:t> </w:t>
      </w:r>
      <w:r>
        <w:rPr/>
        <w:t>direction.</w:t>
      </w:r>
    </w:p>
    <w:p>
      <w:pPr>
        <w:spacing w:after="0" w:line="360" w:lineRule="auto"/>
        <w:jc w:val="both"/>
        <w:sectPr>
          <w:pgSz w:w="11910" w:h="16840"/>
          <w:pgMar w:header="722" w:footer="748" w:top="1300" w:bottom="940" w:left="1500" w:right="1480"/>
        </w:sectPr>
      </w:pPr>
    </w:p>
    <w:p>
      <w:pPr>
        <w:spacing w:before="124"/>
        <w:ind w:left="300" w:right="0" w:firstLine="0"/>
        <w:jc w:val="both"/>
        <w:rPr>
          <w:b/>
          <w:sz w:val="32"/>
        </w:rPr>
      </w:pPr>
      <w:r>
        <w:rPr>
          <w:b/>
          <w:sz w:val="32"/>
        </w:rPr>
        <w:t>Lecture 22 Vertical Electrophoresis (Part-I)</w:t>
      </w:r>
    </w:p>
    <w:p>
      <w:pPr>
        <w:pStyle w:val="BodyText"/>
        <w:spacing w:line="360" w:lineRule="auto" w:before="251"/>
        <w:ind w:left="300" w:right="317"/>
        <w:jc w:val="both"/>
      </w:pPr>
      <w:r>
        <w:rPr>
          <w:b/>
        </w:rPr>
        <w:t>Vertical Gel Electrophoresis: </w:t>
      </w:r>
      <w:r>
        <w:rPr/>
        <w:t>The electrophoresis in this system performed in a discontinuous way with buffer in the upper and lower tank connected by the gel slab. It has multiple modification in the running condition to answer several analytical questions.</w:t>
      </w:r>
    </w:p>
    <w:p>
      <w:pPr>
        <w:pStyle w:val="BodyText"/>
        <w:spacing w:line="360" w:lineRule="auto" w:before="200"/>
        <w:ind w:left="300" w:right="317"/>
        <w:jc w:val="both"/>
      </w:pPr>
      <w:r>
        <w:rPr>
          <w:b/>
        </w:rPr>
        <w:t>Vertical Gel Electrophoresis: </w:t>
      </w:r>
      <w:r>
        <w:rPr/>
        <w:t>The electrophoresis in this system performed in a discontinuous way with buffer in the upper and lower tank connected by the gel slab. It has multiple modification in the running condition to answer multiple analytical questions.</w:t>
      </w:r>
    </w:p>
    <w:p>
      <w:pPr>
        <w:pStyle w:val="Heading4"/>
        <w:spacing w:before="204"/>
      </w:pPr>
      <w:r>
        <w:rPr/>
        <w:t>1. SDS-Polyacrylamide gel electrophoresis (SDS-PAGE)</w:t>
      </w:r>
    </w:p>
    <w:p>
      <w:pPr>
        <w:pStyle w:val="BodyText"/>
        <w:spacing w:before="7"/>
        <w:rPr>
          <w:b/>
          <w:sz w:val="20"/>
        </w:rPr>
      </w:pPr>
    </w:p>
    <w:p>
      <w:pPr>
        <w:pStyle w:val="BodyText"/>
        <w:spacing w:line="360" w:lineRule="auto"/>
        <w:ind w:left="300" w:right="317"/>
        <w:jc w:val="both"/>
      </w:pPr>
      <w:r>
        <w:rPr>
          <w:b/>
        </w:rPr>
        <w:t>Instrument- </w:t>
      </w:r>
      <w:r>
        <w:rPr/>
        <w:t>The schematic diagram of a vertical gel electrophoresis apparatus is given in Figure 22.1. It has two buffer chamber, upper chamber and a lower chamber. Both chamber are fitted with the platinum electrodes connected to the external power supply from a power pack which supplies a direct current or DC voltage. The upper and lower tank filled with the running buffer is connected by the electrophoresis gel casted in between two glass plates (rectangular and notched). There are additional accessories needed for casting the polyacrylamide gel such as comb (to prepare different well), spacer, gel caster etc.</w:t>
      </w:r>
    </w:p>
    <w:p>
      <w:pPr>
        <w:pStyle w:val="BodyText"/>
        <w:spacing w:before="9"/>
        <w:rPr>
          <w:sz w:val="14"/>
        </w:rPr>
      </w:pPr>
      <w:r>
        <w:rPr/>
        <w:drawing>
          <wp:anchor distT="0" distB="0" distL="0" distR="0" allowOverlap="1" layoutInCell="1" locked="0" behindDoc="0" simplePos="0" relativeHeight="282">
            <wp:simplePos x="0" y="0"/>
            <wp:positionH relativeFrom="page">
              <wp:posOffset>1534096</wp:posOffset>
            </wp:positionH>
            <wp:positionV relativeFrom="paragraph">
              <wp:posOffset>132910</wp:posOffset>
            </wp:positionV>
            <wp:extent cx="4485015" cy="2700337"/>
            <wp:effectExtent l="0" t="0" r="0" b="0"/>
            <wp:wrapTopAndBottom/>
            <wp:docPr id="261" name="image135.png" descr="Picture1.png"/>
            <wp:cNvGraphicFramePr>
              <a:graphicFrameLocks noChangeAspect="1"/>
            </wp:cNvGraphicFramePr>
            <a:graphic>
              <a:graphicData uri="http://schemas.openxmlformats.org/drawingml/2006/picture">
                <pic:pic>
                  <pic:nvPicPr>
                    <pic:cNvPr id="262" name="image135.png"/>
                    <pic:cNvPicPr/>
                  </pic:nvPicPr>
                  <pic:blipFill>
                    <a:blip r:embed="rId147" cstate="print"/>
                    <a:stretch>
                      <a:fillRect/>
                    </a:stretch>
                  </pic:blipFill>
                  <pic:spPr>
                    <a:xfrm>
                      <a:off x="0" y="0"/>
                      <a:ext cx="4485015" cy="2700337"/>
                    </a:xfrm>
                    <a:prstGeom prst="rect">
                      <a:avLst/>
                    </a:prstGeom>
                  </pic:spPr>
                </pic:pic>
              </a:graphicData>
            </a:graphic>
          </wp:anchor>
        </w:drawing>
      </w:r>
    </w:p>
    <w:p>
      <w:pPr>
        <w:pStyle w:val="BodyText"/>
        <w:rPr>
          <w:sz w:val="26"/>
        </w:rPr>
      </w:pPr>
    </w:p>
    <w:p>
      <w:pPr>
        <w:spacing w:before="153"/>
        <w:ind w:left="601" w:right="617" w:firstLine="0"/>
        <w:jc w:val="center"/>
        <w:rPr>
          <w:b/>
          <w:sz w:val="16"/>
        </w:rPr>
      </w:pPr>
      <w:r>
        <w:rPr>
          <w:b/>
          <w:sz w:val="16"/>
        </w:rPr>
        <w:t>Figure 22.1: Different components of vertical gel electrophoresis apparatus.</w:t>
      </w:r>
    </w:p>
    <w:p>
      <w:pPr>
        <w:spacing w:after="0"/>
        <w:jc w:val="center"/>
        <w:rPr>
          <w:sz w:val="16"/>
        </w:rPr>
        <w:sectPr>
          <w:pgSz w:w="11910" w:h="16840"/>
          <w:pgMar w:header="722" w:footer="748" w:top="1300" w:bottom="940" w:left="1500" w:right="1480"/>
        </w:sectPr>
      </w:pPr>
    </w:p>
    <w:p>
      <w:pPr>
        <w:spacing w:line="360" w:lineRule="auto" w:before="119"/>
        <w:ind w:left="300" w:right="0" w:firstLine="0"/>
        <w:jc w:val="left"/>
        <w:rPr>
          <w:sz w:val="24"/>
        </w:rPr>
      </w:pPr>
      <w:r>
        <w:rPr>
          <w:b/>
          <w:sz w:val="24"/>
        </w:rPr>
        <w:t>Buffer and reagent for electrophoresis- </w:t>
      </w:r>
      <w:r>
        <w:rPr>
          <w:sz w:val="24"/>
        </w:rPr>
        <w:t>The different buffer and reagents with their purpose for vertical gel electrophoresis is as follows-</w:t>
      </w:r>
    </w:p>
    <w:p>
      <w:pPr>
        <w:pStyle w:val="ListParagraph"/>
        <w:numPr>
          <w:ilvl w:val="0"/>
          <w:numId w:val="22"/>
        </w:numPr>
        <w:tabs>
          <w:tab w:pos="564" w:val="left" w:leader="none"/>
        </w:tabs>
        <w:spacing w:line="360" w:lineRule="auto" w:before="0" w:after="0"/>
        <w:ind w:left="300" w:right="319" w:firstLine="0"/>
        <w:jc w:val="left"/>
        <w:rPr>
          <w:sz w:val="24"/>
        </w:rPr>
      </w:pPr>
      <w:r>
        <w:rPr>
          <w:b/>
          <w:sz w:val="24"/>
        </w:rPr>
        <w:t>N, N, N', N'-tetramethylethylenediamine (TEMED)-</w:t>
      </w:r>
      <w:r>
        <w:rPr>
          <w:sz w:val="24"/>
        </w:rPr>
        <w:t>it catalyzes the acrylamide polymerization.</w:t>
      </w:r>
    </w:p>
    <w:p>
      <w:pPr>
        <w:pStyle w:val="ListParagraph"/>
        <w:numPr>
          <w:ilvl w:val="0"/>
          <w:numId w:val="22"/>
        </w:numPr>
        <w:tabs>
          <w:tab w:pos="540" w:val="left" w:leader="none"/>
        </w:tabs>
        <w:spacing w:line="240" w:lineRule="auto" w:before="200" w:after="0"/>
        <w:ind w:left="540" w:right="0" w:hanging="240"/>
        <w:jc w:val="left"/>
        <w:rPr>
          <w:sz w:val="24"/>
        </w:rPr>
      </w:pPr>
      <w:r>
        <w:rPr>
          <w:b/>
          <w:sz w:val="24"/>
        </w:rPr>
        <w:t>Ammonium persulfate (APS)-</w:t>
      </w:r>
      <w:r>
        <w:rPr>
          <w:sz w:val="24"/>
        </w:rPr>
        <w:t>it is an initiator for the acrylamide</w:t>
      </w:r>
      <w:r>
        <w:rPr>
          <w:spacing w:val="-15"/>
          <w:sz w:val="24"/>
        </w:rPr>
        <w:t> </w:t>
      </w:r>
      <w:r>
        <w:rPr>
          <w:sz w:val="24"/>
        </w:rPr>
        <w:t>polymerization.</w:t>
      </w:r>
    </w:p>
    <w:p>
      <w:pPr>
        <w:pStyle w:val="BodyText"/>
        <w:spacing w:before="4"/>
        <w:rPr>
          <w:sz w:val="29"/>
        </w:rPr>
      </w:pPr>
    </w:p>
    <w:p>
      <w:pPr>
        <w:pStyle w:val="ListParagraph"/>
        <w:numPr>
          <w:ilvl w:val="0"/>
          <w:numId w:val="22"/>
        </w:numPr>
        <w:tabs>
          <w:tab w:pos="540" w:val="left" w:leader="none"/>
        </w:tabs>
        <w:spacing w:line="240" w:lineRule="auto" w:before="1" w:after="0"/>
        <w:ind w:left="540" w:right="0" w:hanging="240"/>
        <w:jc w:val="left"/>
        <w:rPr>
          <w:sz w:val="24"/>
        </w:rPr>
      </w:pPr>
      <w:r>
        <w:rPr>
          <w:b/>
          <w:sz w:val="24"/>
        </w:rPr>
        <w:t>Tris-HCl- </w:t>
      </w:r>
      <w:r>
        <w:rPr>
          <w:sz w:val="24"/>
        </w:rPr>
        <w:t>it is the component of running and gel casting</w:t>
      </w:r>
      <w:r>
        <w:rPr>
          <w:spacing w:val="-5"/>
          <w:sz w:val="24"/>
        </w:rPr>
        <w:t> </w:t>
      </w:r>
      <w:r>
        <w:rPr>
          <w:sz w:val="24"/>
        </w:rPr>
        <w:t>buffer.</w:t>
      </w:r>
    </w:p>
    <w:p>
      <w:pPr>
        <w:pStyle w:val="BodyText"/>
        <w:spacing w:before="4"/>
        <w:rPr>
          <w:sz w:val="29"/>
        </w:rPr>
      </w:pPr>
    </w:p>
    <w:p>
      <w:pPr>
        <w:pStyle w:val="ListParagraph"/>
        <w:numPr>
          <w:ilvl w:val="0"/>
          <w:numId w:val="22"/>
        </w:numPr>
        <w:tabs>
          <w:tab w:pos="540" w:val="left" w:leader="none"/>
        </w:tabs>
        <w:spacing w:line="240" w:lineRule="auto" w:before="1" w:after="0"/>
        <w:ind w:left="540" w:right="0" w:hanging="240"/>
        <w:jc w:val="left"/>
        <w:rPr>
          <w:sz w:val="24"/>
        </w:rPr>
      </w:pPr>
      <w:r>
        <w:rPr>
          <w:b/>
          <w:sz w:val="24"/>
        </w:rPr>
        <w:t>Glycine- </w:t>
      </w:r>
      <w:r>
        <w:rPr>
          <w:sz w:val="24"/>
        </w:rPr>
        <w:t>it is the component of running</w:t>
      </w:r>
      <w:r>
        <w:rPr>
          <w:spacing w:val="-7"/>
          <w:sz w:val="24"/>
        </w:rPr>
        <w:t> </w:t>
      </w:r>
      <w:r>
        <w:rPr>
          <w:sz w:val="24"/>
        </w:rPr>
        <w:t>buffer.</w:t>
      </w:r>
    </w:p>
    <w:p>
      <w:pPr>
        <w:pStyle w:val="BodyText"/>
        <w:spacing w:before="4"/>
        <w:rPr>
          <w:sz w:val="29"/>
        </w:rPr>
      </w:pPr>
    </w:p>
    <w:p>
      <w:pPr>
        <w:pStyle w:val="ListParagraph"/>
        <w:numPr>
          <w:ilvl w:val="0"/>
          <w:numId w:val="22"/>
        </w:numPr>
        <w:tabs>
          <w:tab w:pos="629" w:val="left" w:leader="none"/>
        </w:tabs>
        <w:spacing w:line="360" w:lineRule="auto" w:before="1" w:after="0"/>
        <w:ind w:left="300" w:right="318" w:firstLine="0"/>
        <w:jc w:val="left"/>
        <w:rPr>
          <w:sz w:val="24"/>
        </w:rPr>
      </w:pPr>
      <w:r>
        <w:rPr>
          <w:b/>
          <w:sz w:val="24"/>
        </w:rPr>
        <w:t>Bromophenol blue- </w:t>
      </w:r>
      <w:r>
        <w:rPr>
          <w:sz w:val="24"/>
        </w:rPr>
        <w:t>it is the tracking dye to monitor the progress of gel electrophoresis.</w:t>
      </w:r>
    </w:p>
    <w:p>
      <w:pPr>
        <w:pStyle w:val="ListParagraph"/>
        <w:numPr>
          <w:ilvl w:val="0"/>
          <w:numId w:val="22"/>
        </w:numPr>
        <w:tabs>
          <w:tab w:pos="540" w:val="left" w:leader="none"/>
        </w:tabs>
        <w:spacing w:line="240" w:lineRule="auto" w:before="199" w:after="0"/>
        <w:ind w:left="540" w:right="0" w:hanging="240"/>
        <w:jc w:val="left"/>
        <w:rPr>
          <w:sz w:val="24"/>
        </w:rPr>
      </w:pPr>
      <w:r>
        <w:rPr>
          <w:b/>
          <w:sz w:val="24"/>
        </w:rPr>
        <w:t>Coomassie brilliant blue R250-</w:t>
      </w:r>
      <w:r>
        <w:rPr>
          <w:sz w:val="24"/>
        </w:rPr>
        <w:t>it is used to stain the polyacrylamide</w:t>
      </w:r>
      <w:r>
        <w:rPr>
          <w:spacing w:val="-9"/>
          <w:sz w:val="24"/>
        </w:rPr>
        <w:t> </w:t>
      </w:r>
      <w:r>
        <w:rPr>
          <w:sz w:val="24"/>
        </w:rPr>
        <w:t>gel.</w:t>
      </w:r>
    </w:p>
    <w:p>
      <w:pPr>
        <w:pStyle w:val="BodyText"/>
        <w:spacing w:before="5"/>
        <w:rPr>
          <w:sz w:val="29"/>
        </w:rPr>
      </w:pPr>
    </w:p>
    <w:p>
      <w:pPr>
        <w:pStyle w:val="ListParagraph"/>
        <w:numPr>
          <w:ilvl w:val="0"/>
          <w:numId w:val="22"/>
        </w:numPr>
        <w:tabs>
          <w:tab w:pos="550" w:val="left" w:leader="none"/>
        </w:tabs>
        <w:spacing w:line="360" w:lineRule="auto" w:before="0" w:after="0"/>
        <w:ind w:left="300" w:right="317" w:firstLine="0"/>
        <w:jc w:val="left"/>
        <w:rPr>
          <w:sz w:val="24"/>
        </w:rPr>
      </w:pPr>
      <w:r>
        <w:rPr>
          <w:b/>
          <w:sz w:val="24"/>
        </w:rPr>
        <w:t>Sodium dodecyl sulphate-</w:t>
      </w:r>
      <w:r>
        <w:rPr>
          <w:sz w:val="24"/>
        </w:rPr>
        <w:t>it is used to denature and provde negative charge to the protein.</w:t>
      </w:r>
    </w:p>
    <w:p>
      <w:pPr>
        <w:pStyle w:val="ListParagraph"/>
        <w:numPr>
          <w:ilvl w:val="0"/>
          <w:numId w:val="22"/>
        </w:numPr>
        <w:tabs>
          <w:tab w:pos="540" w:val="left" w:leader="none"/>
        </w:tabs>
        <w:spacing w:line="240" w:lineRule="auto" w:before="199" w:after="0"/>
        <w:ind w:left="540" w:right="0" w:hanging="240"/>
        <w:jc w:val="left"/>
        <w:rPr>
          <w:sz w:val="24"/>
        </w:rPr>
      </w:pPr>
      <w:r>
        <w:rPr>
          <w:b/>
          <w:sz w:val="24"/>
        </w:rPr>
        <w:t>Acrylamide- </w:t>
      </w:r>
      <w:r>
        <w:rPr>
          <w:sz w:val="24"/>
        </w:rPr>
        <w:t>monomeric unit used to prepare the</w:t>
      </w:r>
      <w:r>
        <w:rPr>
          <w:spacing w:val="-5"/>
          <w:sz w:val="24"/>
        </w:rPr>
        <w:t> </w:t>
      </w:r>
      <w:r>
        <w:rPr>
          <w:sz w:val="24"/>
        </w:rPr>
        <w:t>gel.</w:t>
      </w:r>
    </w:p>
    <w:p>
      <w:pPr>
        <w:pStyle w:val="BodyText"/>
        <w:spacing w:before="5"/>
        <w:rPr>
          <w:sz w:val="29"/>
        </w:rPr>
      </w:pPr>
    </w:p>
    <w:p>
      <w:pPr>
        <w:pStyle w:val="ListParagraph"/>
        <w:numPr>
          <w:ilvl w:val="0"/>
          <w:numId w:val="22"/>
        </w:numPr>
        <w:tabs>
          <w:tab w:pos="567" w:val="left" w:leader="none"/>
        </w:tabs>
        <w:spacing w:line="360" w:lineRule="auto" w:before="0" w:after="0"/>
        <w:ind w:left="300" w:right="319" w:firstLine="0"/>
        <w:jc w:val="both"/>
        <w:rPr>
          <w:sz w:val="24"/>
        </w:rPr>
      </w:pPr>
      <w:r>
        <w:rPr>
          <w:b/>
          <w:sz w:val="24"/>
        </w:rPr>
        <w:t>Bis-acrylamide- </w:t>
      </w:r>
      <w:r>
        <w:rPr>
          <w:sz w:val="24"/>
        </w:rPr>
        <w:t>cross linker for polymerization of acrylamide monomer to form gel.</w:t>
      </w:r>
    </w:p>
    <w:p>
      <w:pPr>
        <w:pStyle w:val="BodyText"/>
        <w:spacing w:line="360" w:lineRule="auto" w:before="199"/>
        <w:ind w:left="300" w:right="315"/>
        <w:jc w:val="both"/>
      </w:pPr>
      <w:r>
        <w:rPr>
          <w:b/>
        </w:rPr>
        <w:t>Casting of the gel: </w:t>
      </w:r>
      <w:r>
        <w:rPr/>
        <w:t>The acrylamide solution (a mixture of monomeric acrylamide and a bifunctional crosslinker bisacrylamide ) is mixed with the TEMED and APS and poured in between the glass plate fitted into the gel caster. Ammoinum persupfate in the presence of TEMED forms oxygen free radicals and induces the polymerization of acryalide monomer to form a linear polymer (Figure 22.2). These linear monomers are interconnected by the cross linking with bis-acrylamide monomer to form a 3-D mesh with pores. The size of pore is controlled by the concentration of acrylamide  and amount of bis-acrylamide in the gel. IN a vertical gel electrophoresis system, we cast two types of gels, stacking gel and resolving gel. First the resolving gel solution is prepared and poured into the gel cassette for polymerization. A thin layer of organisc solvent (such as butanol or isoproponal) is layered to stop the entry of oxygen (oxygen neutralizes the free radical and slow down the polymerization) and make the top layer smooth. After polymerization of the resolving gel, a stacking gel</w:t>
      </w:r>
      <w:r>
        <w:rPr>
          <w:spacing w:val="18"/>
        </w:rPr>
        <w:t> </w:t>
      </w:r>
      <w:r>
        <w:rPr/>
        <w:t>is</w:t>
      </w:r>
    </w:p>
    <w:p>
      <w:pPr>
        <w:spacing w:after="0" w:line="360" w:lineRule="auto"/>
        <w:jc w:val="both"/>
        <w:sectPr>
          <w:pgSz w:w="11910" w:h="16840"/>
          <w:pgMar w:header="722" w:footer="748" w:top="1300" w:bottom="940" w:left="1500" w:right="1480"/>
        </w:sectPr>
      </w:pPr>
    </w:p>
    <w:p>
      <w:pPr>
        <w:pStyle w:val="BodyText"/>
        <w:spacing w:line="360" w:lineRule="auto" w:before="119"/>
        <w:ind w:left="300" w:right="443"/>
      </w:pPr>
      <w:r>
        <w:rPr/>
        <w:t>poured and comb is fitted into the gel for construction of different lanes for the samples (Figure 22.3).</w:t>
      </w:r>
    </w:p>
    <w:p>
      <w:pPr>
        <w:pStyle w:val="BodyText"/>
        <w:spacing w:before="10"/>
        <w:rPr>
          <w:sz w:val="14"/>
        </w:rPr>
      </w:pPr>
      <w:r>
        <w:rPr/>
        <w:drawing>
          <wp:anchor distT="0" distB="0" distL="0" distR="0" allowOverlap="1" layoutInCell="1" locked="0" behindDoc="0" simplePos="0" relativeHeight="283">
            <wp:simplePos x="0" y="0"/>
            <wp:positionH relativeFrom="page">
              <wp:posOffset>1229791</wp:posOffset>
            </wp:positionH>
            <wp:positionV relativeFrom="paragraph">
              <wp:posOffset>133744</wp:posOffset>
            </wp:positionV>
            <wp:extent cx="5150880" cy="5814060"/>
            <wp:effectExtent l="0" t="0" r="0" b="0"/>
            <wp:wrapTopAndBottom/>
            <wp:docPr id="263" name="image136.png"/>
            <wp:cNvGraphicFramePr>
              <a:graphicFrameLocks noChangeAspect="1"/>
            </wp:cNvGraphicFramePr>
            <a:graphic>
              <a:graphicData uri="http://schemas.openxmlformats.org/drawingml/2006/picture">
                <pic:pic>
                  <pic:nvPicPr>
                    <pic:cNvPr id="264" name="image136.png"/>
                    <pic:cNvPicPr/>
                  </pic:nvPicPr>
                  <pic:blipFill>
                    <a:blip r:embed="rId148" cstate="print"/>
                    <a:stretch>
                      <a:fillRect/>
                    </a:stretch>
                  </pic:blipFill>
                  <pic:spPr>
                    <a:xfrm>
                      <a:off x="0" y="0"/>
                      <a:ext cx="5150880" cy="5814060"/>
                    </a:xfrm>
                    <a:prstGeom prst="rect">
                      <a:avLst/>
                    </a:prstGeom>
                  </pic:spPr>
                </pic:pic>
              </a:graphicData>
            </a:graphic>
          </wp:anchor>
        </w:drawing>
      </w:r>
    </w:p>
    <w:p>
      <w:pPr>
        <w:pStyle w:val="BodyText"/>
        <w:spacing w:before="11"/>
        <w:rPr>
          <w:sz w:val="29"/>
        </w:rPr>
      </w:pPr>
    </w:p>
    <w:p>
      <w:pPr>
        <w:spacing w:before="0"/>
        <w:ind w:left="598" w:right="617" w:firstLine="0"/>
        <w:jc w:val="center"/>
        <w:rPr>
          <w:b/>
          <w:sz w:val="16"/>
        </w:rPr>
      </w:pPr>
      <w:r>
        <w:rPr>
          <w:b/>
          <w:sz w:val="16"/>
        </w:rPr>
        <w:t>Figure 22.2: Mechanism of acylamide polymerization.</w:t>
      </w:r>
    </w:p>
    <w:p>
      <w:pPr>
        <w:spacing w:after="0"/>
        <w:jc w:val="center"/>
        <w:rPr>
          <w:sz w:val="16"/>
        </w:rPr>
        <w:sectPr>
          <w:pgSz w:w="11910" w:h="16840"/>
          <w:pgMar w:header="722" w:footer="748" w:top="1300" w:bottom="940" w:left="1500" w:right="1480"/>
        </w:sectPr>
      </w:pPr>
    </w:p>
    <w:p>
      <w:pPr>
        <w:pStyle w:val="BodyText"/>
        <w:spacing w:before="10" w:after="1"/>
        <w:rPr>
          <w:b/>
          <w:sz w:val="10"/>
        </w:rPr>
      </w:pPr>
    </w:p>
    <w:p>
      <w:pPr>
        <w:pStyle w:val="BodyText"/>
        <w:ind w:left="397"/>
        <w:rPr>
          <w:sz w:val="20"/>
        </w:rPr>
      </w:pPr>
      <w:r>
        <w:rPr>
          <w:sz w:val="20"/>
        </w:rPr>
        <w:drawing>
          <wp:inline distT="0" distB="0" distL="0" distR="0">
            <wp:extent cx="5161266" cy="3249168"/>
            <wp:effectExtent l="0" t="0" r="0" b="0"/>
            <wp:docPr id="265" name="image137.png"/>
            <wp:cNvGraphicFramePr>
              <a:graphicFrameLocks noChangeAspect="1"/>
            </wp:cNvGraphicFramePr>
            <a:graphic>
              <a:graphicData uri="http://schemas.openxmlformats.org/drawingml/2006/picture">
                <pic:pic>
                  <pic:nvPicPr>
                    <pic:cNvPr id="266" name="image137.png"/>
                    <pic:cNvPicPr/>
                  </pic:nvPicPr>
                  <pic:blipFill>
                    <a:blip r:embed="rId149" cstate="print"/>
                    <a:stretch>
                      <a:fillRect/>
                    </a:stretch>
                  </pic:blipFill>
                  <pic:spPr>
                    <a:xfrm>
                      <a:off x="0" y="0"/>
                      <a:ext cx="5161266" cy="3249168"/>
                    </a:xfrm>
                    <a:prstGeom prst="rect">
                      <a:avLst/>
                    </a:prstGeom>
                  </pic:spPr>
                </pic:pic>
              </a:graphicData>
            </a:graphic>
          </wp:inline>
        </w:drawing>
      </w:r>
      <w:r>
        <w:rPr>
          <w:sz w:val="20"/>
        </w:rPr>
      </w:r>
    </w:p>
    <w:p>
      <w:pPr>
        <w:pStyle w:val="BodyText"/>
        <w:rPr>
          <w:b/>
          <w:sz w:val="20"/>
        </w:rPr>
      </w:pPr>
    </w:p>
    <w:p>
      <w:pPr>
        <w:pStyle w:val="BodyText"/>
        <w:spacing w:before="8"/>
        <w:rPr>
          <w:b/>
          <w:sz w:val="18"/>
        </w:rPr>
      </w:pPr>
    </w:p>
    <w:p>
      <w:pPr>
        <w:spacing w:before="0"/>
        <w:ind w:left="599" w:right="617" w:firstLine="0"/>
        <w:jc w:val="center"/>
        <w:rPr>
          <w:b/>
          <w:sz w:val="16"/>
        </w:rPr>
      </w:pPr>
      <w:r>
        <w:rPr>
          <w:b/>
          <w:sz w:val="16"/>
        </w:rPr>
        <w:t>Figure 22.3: Different steps in performace of vertical gel electrophoresis to resolve sample.</w:t>
      </w:r>
    </w:p>
    <w:p>
      <w:pPr>
        <w:pStyle w:val="BodyText"/>
        <w:spacing w:line="360" w:lineRule="auto" w:before="118"/>
        <w:ind w:left="299" w:right="316"/>
        <w:jc w:val="both"/>
      </w:pPr>
      <w:r>
        <w:rPr>
          <w:b/>
        </w:rPr>
        <w:t>Running of the gel: </w:t>
      </w:r>
      <w:r>
        <w:rPr/>
        <w:t>The sample is prepared in the loading dye containing SDS, β- mercaptoethanol in glycerol to denature the sample and presence of glycerol facilitates the loading of sample in the well. As the samples are filled vertically there is a distance drift between the molecules at the top Vs at the bottom in a lane. This problem is taken care once the sample run through the stacking gel. The pH of the stacking gel is 6.8 and at this pH, glycine is moving slowly in the front where as Tris- HCl is moving fast. As a result, the sample gets sandwiched between glycine-Tris and get stacked in the form of thin band. As the sample enters into the resolving gel with a pH 8.8, the glycine is now charged, it moves fast and now sample runs as per their molecular weight (due to SDS they have equal negative charge). After tracking </w:t>
      </w:r>
      <w:r>
        <w:rPr>
          <w:spacing w:val="-3"/>
        </w:rPr>
        <w:t>dye </w:t>
      </w:r>
      <w:r>
        <w:rPr/>
        <w:t>reaches to the bottom of the gel, gel is taken out from the glass plate with the help of a spatula and it is stained with coomassie brilliant blue R250 dye. The dye stains  protein present on the gel. A typical SDS-PAGE is given in the Figure</w:t>
      </w:r>
      <w:r>
        <w:rPr>
          <w:spacing w:val="-12"/>
        </w:rPr>
        <w:t> </w:t>
      </w:r>
      <w:r>
        <w:rPr/>
        <w:t>22.4.</w:t>
      </w:r>
    </w:p>
    <w:p>
      <w:pPr>
        <w:spacing w:after="0" w:line="360" w:lineRule="auto"/>
        <w:jc w:val="both"/>
        <w:sectPr>
          <w:pgSz w:w="11910" w:h="16840"/>
          <w:pgMar w:header="722" w:footer="748" w:top="1300" w:bottom="940" w:left="1500" w:right="1480"/>
        </w:sectPr>
      </w:pPr>
    </w:p>
    <w:p>
      <w:pPr>
        <w:pStyle w:val="BodyText"/>
        <w:spacing w:before="119"/>
        <w:ind w:left="300"/>
      </w:pPr>
      <w:r>
        <w:rPr/>
        <w:t>In SDS-PAGE, the relative mobility and the log molecular weight as given by</w:t>
      </w:r>
    </w:p>
    <w:p>
      <w:pPr>
        <w:pStyle w:val="BodyText"/>
        <w:spacing w:before="2"/>
      </w:pPr>
    </w:p>
    <w:p>
      <w:pPr>
        <w:tabs>
          <w:tab w:pos="6938" w:val="left" w:leader="dot"/>
        </w:tabs>
        <w:spacing w:line="441" w:lineRule="exact" w:before="1"/>
        <w:ind w:left="1034" w:right="0" w:firstLine="0"/>
        <w:jc w:val="left"/>
        <w:rPr>
          <w:b/>
          <w:sz w:val="24"/>
        </w:rPr>
      </w:pPr>
      <w:r>
        <w:rPr>
          <w:rFonts w:ascii="Symbola" w:hAnsi="Symbola" w:eastAsia="Symbola"/>
          <w:spacing w:val="-1"/>
          <w:w w:val="106"/>
          <w:sz w:val="36"/>
        </w:rPr>
        <w:t>𝒗</w:t>
      </w:r>
      <w:r>
        <w:rPr>
          <w:rFonts w:ascii="Symbola" w:hAnsi="Symbola" w:eastAsia="Symbola"/>
          <w:w w:val="104"/>
          <w:sz w:val="36"/>
        </w:rPr>
        <w:t>′</w:t>
      </w:r>
      <w:r>
        <w:rPr>
          <w:rFonts w:ascii="Symbola" w:hAnsi="Symbola" w:eastAsia="Symbola"/>
          <w:spacing w:val="8"/>
          <w:sz w:val="36"/>
        </w:rPr>
        <w:t> </w:t>
      </w:r>
      <w:r>
        <w:rPr>
          <w:rFonts w:ascii="Symbola" w:hAnsi="Symbola" w:eastAsia="Symbola"/>
          <w:w w:val="96"/>
          <w:sz w:val="36"/>
        </w:rPr>
        <w:t>=</w:t>
      </w:r>
      <w:r>
        <w:rPr>
          <w:rFonts w:ascii="Symbola" w:hAnsi="Symbola" w:eastAsia="Symbola"/>
          <w:spacing w:val="10"/>
          <w:sz w:val="36"/>
        </w:rPr>
        <w:t> </w:t>
      </w:r>
      <w:r>
        <w:rPr>
          <w:rFonts w:ascii="Symbola" w:hAnsi="Symbola" w:eastAsia="Symbola"/>
          <w:w w:val="114"/>
          <w:sz w:val="36"/>
        </w:rPr>
        <w:t>𝐕</w:t>
      </w:r>
      <w:r>
        <w:rPr>
          <w:rFonts w:ascii="Symbola" w:hAnsi="Symbola" w:eastAsia="Symbola"/>
          <w:w w:val="103"/>
          <w:sz w:val="36"/>
        </w:rPr>
        <w:t>𝐨</w:t>
      </w:r>
      <w:r>
        <w:rPr>
          <w:rFonts w:ascii="Symbola" w:hAnsi="Symbola" w:eastAsia="Symbola"/>
          <w:spacing w:val="-30"/>
          <w:sz w:val="36"/>
        </w:rPr>
        <w:t> </w:t>
      </w:r>
      <w:r>
        <w:rPr>
          <w:rFonts w:ascii="Symbola" w:hAnsi="Symbola" w:eastAsia="Symbola"/>
          <w:spacing w:val="-1"/>
          <w:w w:val="120"/>
          <w:position w:val="21"/>
          <w:sz w:val="26"/>
          <w:u w:val="thick"/>
        </w:rPr>
        <w:t>𝐀</w:t>
      </w:r>
      <w:r>
        <w:rPr>
          <w:rFonts w:ascii="Symbola" w:hAnsi="Symbola" w:eastAsia="Symbola"/>
          <w:w w:val="93"/>
          <w:position w:val="21"/>
          <w:sz w:val="26"/>
          <w:u w:val="thick"/>
        </w:rPr>
        <w:t>−</w:t>
      </w:r>
      <w:r>
        <w:rPr>
          <w:rFonts w:ascii="Symbola" w:hAnsi="Symbola" w:eastAsia="Symbola"/>
          <w:w w:val="57"/>
          <w:position w:val="21"/>
          <w:sz w:val="26"/>
          <w:u w:val="thick"/>
        </w:rPr>
        <w:t>𝐥</w:t>
      </w:r>
      <w:r>
        <w:rPr>
          <w:rFonts w:ascii="Symbola" w:hAnsi="Symbola" w:eastAsia="Symbola"/>
          <w:spacing w:val="-1"/>
          <w:w w:val="103"/>
          <w:position w:val="21"/>
          <w:sz w:val="26"/>
          <w:u w:val="thick"/>
        </w:rPr>
        <w:t>𝐨</w:t>
      </w:r>
      <w:r>
        <w:rPr>
          <w:rFonts w:ascii="Symbola" w:hAnsi="Symbola" w:eastAsia="Symbola"/>
          <w:w w:val="95"/>
          <w:position w:val="21"/>
          <w:sz w:val="26"/>
          <w:u w:val="thick"/>
        </w:rPr>
        <w:t>𝐠</w:t>
      </w:r>
      <w:r>
        <w:rPr>
          <w:rFonts w:ascii="Symbola" w:hAnsi="Symbola" w:eastAsia="Symbola"/>
          <w:spacing w:val="-6"/>
          <w:position w:val="21"/>
          <w:sz w:val="26"/>
          <w:u w:val="thick"/>
        </w:rPr>
        <w:t> </w:t>
      </w:r>
      <w:r>
        <w:rPr>
          <w:rFonts w:ascii="Symbola" w:hAnsi="Symbola" w:eastAsia="Symbola"/>
          <w:w w:val="152"/>
          <w:position w:val="21"/>
          <w:sz w:val="26"/>
          <w:u w:val="thick"/>
        </w:rPr>
        <w:t>𝐌</w:t>
      </w:r>
      <w:r>
        <w:rPr>
          <w:w w:val="99"/>
          <w:position w:val="21"/>
          <w:sz w:val="26"/>
        </w:rPr>
        <w:t> </w:t>
      </w:r>
      <w:r>
        <w:rPr>
          <w:position w:val="21"/>
          <w:sz w:val="26"/>
        </w:rPr>
        <w:tab/>
      </w:r>
      <w:r>
        <w:rPr>
          <w:b/>
          <w:sz w:val="24"/>
        </w:rPr>
        <w:t>E</w:t>
      </w:r>
      <w:r>
        <w:rPr>
          <w:b/>
          <w:w w:val="99"/>
          <w:sz w:val="24"/>
        </w:rPr>
        <w:t>q</w:t>
      </w:r>
      <w:r>
        <w:rPr>
          <w:b/>
          <w:sz w:val="24"/>
        </w:rPr>
        <w:t> </w:t>
      </w:r>
      <w:r>
        <w:rPr>
          <w:b/>
          <w:spacing w:val="-1"/>
          <w:sz w:val="24"/>
        </w:rPr>
        <w:t>(</w:t>
      </w:r>
      <w:r>
        <w:rPr>
          <w:b/>
          <w:sz w:val="24"/>
        </w:rPr>
        <w:t>22.1)</w:t>
      </w:r>
    </w:p>
    <w:p>
      <w:pPr>
        <w:spacing w:line="209" w:lineRule="exact" w:before="0"/>
        <w:ind w:left="2738" w:right="0" w:firstLine="0"/>
        <w:jc w:val="left"/>
        <w:rPr>
          <w:rFonts w:ascii="Symbola" w:eastAsia="Symbola"/>
          <w:sz w:val="26"/>
        </w:rPr>
      </w:pPr>
      <w:r>
        <w:rPr>
          <w:rFonts w:ascii="Symbola" w:eastAsia="Symbola"/>
          <w:w w:val="120"/>
          <w:sz w:val="26"/>
        </w:rPr>
        <w:t>𝐀</w:t>
      </w:r>
    </w:p>
    <w:p>
      <w:pPr>
        <w:pStyle w:val="Heading4"/>
        <w:spacing w:line="278" w:lineRule="auto" w:before="207"/>
        <w:ind w:right="443"/>
        <w:jc w:val="left"/>
      </w:pPr>
      <w:r>
        <w:rPr/>
        <w:t>Molecular weight of a protein can be determined by plotting relative migration Rf with the log molecular weight of standard protein.</w:t>
      </w:r>
    </w:p>
    <w:p>
      <w:pPr>
        <w:pStyle w:val="BodyText"/>
        <w:spacing w:before="3"/>
        <w:rPr>
          <w:b/>
          <w:sz w:val="21"/>
        </w:rPr>
      </w:pPr>
    </w:p>
    <w:p>
      <w:pPr>
        <w:tabs>
          <w:tab w:pos="7048" w:val="left" w:leader="dot"/>
        </w:tabs>
        <w:spacing w:line="172" w:lineRule="auto" w:before="0"/>
        <w:ind w:left="924" w:right="0" w:firstLine="0"/>
        <w:jc w:val="left"/>
        <w:rPr>
          <w:b/>
          <w:sz w:val="24"/>
        </w:rPr>
      </w:pPr>
      <w:r>
        <w:rPr/>
        <w:pict>
          <v:rect style="position:absolute;margin-left:167.279999pt;margin-top:13.982082pt;width:212.04pt;height:1.2pt;mso-position-horizontal-relative:page;mso-position-vertical-relative:paragraph;z-index:-18393088" filled="true" fillcolor="#000000" stroked="false">
            <v:fill type="solid"/>
            <w10:wrap type="none"/>
          </v:rect>
        </w:pict>
      </w:r>
      <w:r>
        <w:rPr>
          <w:rFonts w:ascii="Symbola" w:eastAsia="Symbola"/>
          <w:spacing w:val="1"/>
          <w:w w:val="112"/>
          <w:position w:val="-20"/>
          <w:sz w:val="36"/>
        </w:rPr>
        <w:t>𝑹</w:t>
      </w:r>
      <w:r>
        <w:rPr>
          <w:rFonts w:ascii="Symbola" w:eastAsia="Symbola"/>
          <w:w w:val="112"/>
          <w:position w:val="-20"/>
          <w:sz w:val="36"/>
        </w:rPr>
        <w:t>𝒇</w:t>
      </w:r>
      <w:r>
        <w:rPr>
          <w:rFonts w:ascii="Symbola" w:eastAsia="Symbola"/>
          <w:spacing w:val="9"/>
          <w:position w:val="-20"/>
          <w:sz w:val="36"/>
        </w:rPr>
        <w:t> </w:t>
      </w:r>
      <w:r>
        <w:rPr>
          <w:rFonts w:ascii="Symbola" w:eastAsia="Symbola"/>
          <w:w w:val="96"/>
          <w:position w:val="-20"/>
          <w:sz w:val="36"/>
        </w:rPr>
        <w:t>=</w:t>
      </w:r>
      <w:r>
        <w:rPr>
          <w:rFonts w:ascii="Symbola" w:eastAsia="Symbola"/>
          <w:spacing w:val="8"/>
          <w:position w:val="-20"/>
          <w:sz w:val="36"/>
        </w:rPr>
        <w:t> </w:t>
      </w:r>
      <w:r>
        <w:rPr>
          <w:rFonts w:ascii="Symbola" w:eastAsia="Symbola"/>
          <w:w w:val="160"/>
          <w:sz w:val="26"/>
        </w:rPr>
        <w:t>𝐦</w:t>
      </w:r>
      <w:r>
        <w:rPr>
          <w:rFonts w:ascii="Symbola" w:eastAsia="Symbola"/>
          <w:spacing w:val="1"/>
          <w:w w:val="76"/>
          <w:sz w:val="26"/>
        </w:rPr>
        <w:t>𝐢</w:t>
      </w:r>
      <w:r>
        <w:rPr>
          <w:rFonts w:ascii="Symbola" w:eastAsia="Symbola"/>
          <w:spacing w:val="-1"/>
          <w:w w:val="76"/>
          <w:sz w:val="26"/>
        </w:rPr>
        <w:t>𝐠</w:t>
      </w:r>
      <w:r>
        <w:rPr>
          <w:rFonts w:ascii="Symbola" w:eastAsia="Symbola"/>
          <w:spacing w:val="-2"/>
          <w:w w:val="84"/>
          <w:sz w:val="26"/>
        </w:rPr>
        <w:t>𝐫</w:t>
      </w:r>
      <w:r>
        <w:rPr>
          <w:rFonts w:ascii="Symbola" w:eastAsia="Symbola"/>
          <w:spacing w:val="1"/>
          <w:w w:val="97"/>
          <w:sz w:val="26"/>
        </w:rPr>
        <w:t>𝐚</w:t>
      </w:r>
      <w:r>
        <w:rPr>
          <w:rFonts w:ascii="Symbola" w:eastAsia="Symbola"/>
          <w:w w:val="67"/>
          <w:sz w:val="26"/>
        </w:rPr>
        <w:t>𝐭</w:t>
      </w:r>
      <w:r>
        <w:rPr>
          <w:rFonts w:ascii="Symbola" w:eastAsia="Symbola"/>
          <w:spacing w:val="1"/>
          <w:w w:val="80"/>
          <w:sz w:val="26"/>
        </w:rPr>
        <w:t>𝐢</w:t>
      </w:r>
      <w:r>
        <w:rPr>
          <w:rFonts w:ascii="Symbola" w:eastAsia="Symbola"/>
          <w:spacing w:val="-1"/>
          <w:w w:val="80"/>
          <w:sz w:val="26"/>
        </w:rPr>
        <w:t>𝐨</w:t>
      </w:r>
      <w:r>
        <w:rPr>
          <w:rFonts w:ascii="Symbola" w:eastAsia="Symbola"/>
          <w:w w:val="109"/>
          <w:sz w:val="26"/>
        </w:rPr>
        <w:t>𝐧</w:t>
      </w:r>
      <w:r>
        <w:rPr>
          <w:rFonts w:ascii="Symbola" w:eastAsia="Symbola"/>
          <w:spacing w:val="-5"/>
          <w:sz w:val="26"/>
        </w:rPr>
        <w:t> </w:t>
      </w:r>
      <w:r>
        <w:rPr>
          <w:rFonts w:ascii="Symbola" w:eastAsia="Symbola"/>
          <w:spacing w:val="-1"/>
          <w:w w:val="88"/>
          <w:sz w:val="26"/>
        </w:rPr>
        <w:t>𝐨</w:t>
      </w:r>
      <w:r>
        <w:rPr>
          <w:rFonts w:ascii="Symbola" w:eastAsia="Symbola"/>
          <w:w w:val="88"/>
          <w:sz w:val="26"/>
        </w:rPr>
        <w:t>𝐟</w:t>
      </w:r>
      <w:r>
        <w:rPr>
          <w:rFonts w:ascii="Symbola" w:eastAsia="Symbola"/>
          <w:spacing w:val="-8"/>
          <w:sz w:val="26"/>
        </w:rPr>
        <w:t> </w:t>
      </w:r>
      <w:r>
        <w:rPr>
          <w:rFonts w:ascii="Symbola" w:eastAsia="Symbola"/>
          <w:spacing w:val="-1"/>
          <w:w w:val="96"/>
          <w:sz w:val="26"/>
        </w:rPr>
        <w:t>𝐩𝐫</w:t>
      </w:r>
      <w:r>
        <w:rPr>
          <w:rFonts w:ascii="Symbola" w:eastAsia="Symbola"/>
          <w:spacing w:val="-1"/>
          <w:w w:val="85"/>
          <w:sz w:val="26"/>
        </w:rPr>
        <w:t>𝐨</w:t>
      </w:r>
      <w:r>
        <w:rPr>
          <w:rFonts w:ascii="Symbola" w:eastAsia="Symbola"/>
          <w:w w:val="85"/>
          <w:sz w:val="26"/>
        </w:rPr>
        <w:t>𝐭</w:t>
      </w:r>
      <w:r>
        <w:rPr>
          <w:rFonts w:ascii="Symbola" w:eastAsia="Symbola"/>
          <w:w w:val="96"/>
          <w:sz w:val="26"/>
        </w:rPr>
        <w:t>𝐞</w:t>
      </w:r>
      <w:r>
        <w:rPr>
          <w:rFonts w:ascii="Symbola" w:eastAsia="Symbola"/>
          <w:spacing w:val="1"/>
          <w:w w:val="58"/>
          <w:sz w:val="26"/>
        </w:rPr>
        <w:t>𝐢</w:t>
      </w:r>
      <w:r>
        <w:rPr>
          <w:rFonts w:ascii="Symbola" w:eastAsia="Symbola"/>
          <w:w w:val="109"/>
          <w:sz w:val="26"/>
        </w:rPr>
        <w:t>𝐧</w:t>
      </w:r>
      <w:r>
        <w:rPr>
          <w:rFonts w:ascii="Symbola" w:eastAsia="Symbola"/>
          <w:spacing w:val="-5"/>
          <w:sz w:val="26"/>
        </w:rPr>
        <w:t> </w:t>
      </w:r>
      <w:r>
        <w:rPr>
          <w:rFonts w:ascii="Symbola" w:eastAsia="Symbola"/>
          <w:w w:val="73"/>
          <w:sz w:val="26"/>
        </w:rPr>
        <w:t>𝐟</w:t>
      </w:r>
      <w:r>
        <w:rPr>
          <w:rFonts w:ascii="Symbola" w:eastAsia="Symbola"/>
          <w:spacing w:val="-2"/>
          <w:w w:val="93"/>
          <w:sz w:val="26"/>
        </w:rPr>
        <w:t>𝐫</w:t>
      </w:r>
      <w:r>
        <w:rPr>
          <w:rFonts w:ascii="Symbola" w:eastAsia="Symbola"/>
          <w:spacing w:val="-1"/>
          <w:w w:val="93"/>
          <w:sz w:val="26"/>
        </w:rPr>
        <w:t>𝐨</w:t>
      </w:r>
      <w:r>
        <w:rPr>
          <w:rFonts w:ascii="Symbola" w:eastAsia="Symbola"/>
          <w:w w:val="160"/>
          <w:sz w:val="26"/>
        </w:rPr>
        <w:t>𝐦</w:t>
      </w:r>
      <w:r>
        <w:rPr>
          <w:rFonts w:ascii="Symbola" w:eastAsia="Symbola"/>
          <w:spacing w:val="-5"/>
          <w:sz w:val="26"/>
        </w:rPr>
        <w:t> </w:t>
      </w:r>
      <w:r>
        <w:rPr>
          <w:rFonts w:ascii="Symbola" w:eastAsia="Symbola"/>
          <w:w w:val="90"/>
          <w:sz w:val="26"/>
        </w:rPr>
        <w:t>𝐭𝐡𝐞</w:t>
      </w:r>
      <w:r>
        <w:rPr>
          <w:rFonts w:ascii="Symbola" w:eastAsia="Symbola"/>
          <w:spacing w:val="-8"/>
          <w:sz w:val="26"/>
        </w:rPr>
        <w:t> </w:t>
      </w:r>
      <w:r>
        <w:rPr>
          <w:rFonts w:ascii="Symbola" w:eastAsia="Symbola"/>
          <w:w w:val="57"/>
          <w:sz w:val="26"/>
        </w:rPr>
        <w:t>𝐥</w:t>
      </w:r>
      <w:r>
        <w:rPr>
          <w:rFonts w:ascii="Symbola" w:eastAsia="Symbola"/>
          <w:spacing w:val="-1"/>
          <w:w w:val="97"/>
          <w:sz w:val="26"/>
        </w:rPr>
        <w:t>𝐚</w:t>
      </w:r>
      <w:r>
        <w:rPr>
          <w:rFonts w:ascii="Symbola" w:eastAsia="Symbola"/>
          <w:w w:val="109"/>
          <w:sz w:val="26"/>
        </w:rPr>
        <w:t>𝐧</w:t>
      </w:r>
      <w:r>
        <w:rPr>
          <w:rFonts w:ascii="Symbola" w:eastAsia="Symbola"/>
          <w:w w:val="96"/>
          <w:sz w:val="26"/>
        </w:rPr>
        <w:t>𝐞</w:t>
      </w:r>
      <w:r>
        <w:rPr>
          <w:w w:val="99"/>
          <w:sz w:val="26"/>
        </w:rPr>
        <w:t> </w:t>
      </w:r>
      <w:r>
        <w:rPr>
          <w:sz w:val="26"/>
        </w:rPr>
        <w:tab/>
      </w:r>
      <w:r>
        <w:rPr>
          <w:b/>
          <w:position w:val="-20"/>
          <w:sz w:val="24"/>
        </w:rPr>
        <w:t>E</w:t>
      </w:r>
      <w:r>
        <w:rPr>
          <w:b/>
          <w:w w:val="99"/>
          <w:position w:val="-20"/>
          <w:sz w:val="24"/>
        </w:rPr>
        <w:t>q</w:t>
      </w:r>
      <w:r>
        <w:rPr>
          <w:b/>
          <w:position w:val="-20"/>
          <w:sz w:val="24"/>
        </w:rPr>
        <w:t> </w:t>
      </w:r>
      <w:r>
        <w:rPr>
          <w:b/>
          <w:spacing w:val="-1"/>
          <w:position w:val="-20"/>
          <w:sz w:val="24"/>
        </w:rPr>
        <w:t>(</w:t>
      </w:r>
      <w:r>
        <w:rPr>
          <w:b/>
          <w:position w:val="-20"/>
          <w:sz w:val="24"/>
        </w:rPr>
        <w:t>22.2)</w:t>
      </w:r>
    </w:p>
    <w:p>
      <w:pPr>
        <w:spacing w:line="240" w:lineRule="exact" w:before="0"/>
        <w:ind w:left="2397" w:right="0" w:firstLine="0"/>
        <w:jc w:val="left"/>
        <w:rPr>
          <w:rFonts w:ascii="Symbola" w:eastAsia="Symbola"/>
          <w:sz w:val="26"/>
        </w:rPr>
      </w:pPr>
      <w:r>
        <w:rPr>
          <w:rFonts w:ascii="Symbola" w:eastAsia="Symbola"/>
          <w:w w:val="160"/>
          <w:sz w:val="26"/>
        </w:rPr>
        <w:t>𝐦</w:t>
      </w:r>
      <w:r>
        <w:rPr>
          <w:rFonts w:ascii="Symbola" w:eastAsia="Symbola"/>
          <w:spacing w:val="1"/>
          <w:w w:val="76"/>
          <w:sz w:val="26"/>
        </w:rPr>
        <w:t>𝐢</w:t>
      </w:r>
      <w:r>
        <w:rPr>
          <w:rFonts w:ascii="Symbola" w:eastAsia="Symbola"/>
          <w:spacing w:val="-1"/>
          <w:w w:val="76"/>
          <w:sz w:val="26"/>
        </w:rPr>
        <w:t>𝐠</w:t>
      </w:r>
      <w:r>
        <w:rPr>
          <w:rFonts w:ascii="Symbola" w:eastAsia="Symbola"/>
          <w:spacing w:val="1"/>
          <w:w w:val="84"/>
          <w:sz w:val="26"/>
        </w:rPr>
        <w:t>𝐫</w:t>
      </w:r>
      <w:r>
        <w:rPr>
          <w:rFonts w:ascii="Symbola" w:eastAsia="Symbola"/>
          <w:spacing w:val="-1"/>
          <w:w w:val="97"/>
          <w:sz w:val="26"/>
        </w:rPr>
        <w:t>𝐚</w:t>
      </w:r>
      <w:r>
        <w:rPr>
          <w:rFonts w:ascii="Symbola" w:eastAsia="Symbola"/>
          <w:w w:val="67"/>
          <w:sz w:val="26"/>
        </w:rPr>
        <w:t>𝐭</w:t>
      </w:r>
      <w:r>
        <w:rPr>
          <w:rFonts w:ascii="Symbola" w:eastAsia="Symbola"/>
          <w:spacing w:val="1"/>
          <w:w w:val="80"/>
          <w:sz w:val="26"/>
        </w:rPr>
        <w:t>𝐢</w:t>
      </w:r>
      <w:r>
        <w:rPr>
          <w:rFonts w:ascii="Symbola" w:eastAsia="Symbola"/>
          <w:spacing w:val="-1"/>
          <w:w w:val="80"/>
          <w:sz w:val="26"/>
        </w:rPr>
        <w:t>𝐨</w:t>
      </w:r>
      <w:r>
        <w:rPr>
          <w:rFonts w:ascii="Symbola" w:eastAsia="Symbola"/>
          <w:w w:val="109"/>
          <w:sz w:val="26"/>
        </w:rPr>
        <w:t>𝐧</w:t>
      </w:r>
      <w:r>
        <w:rPr>
          <w:rFonts w:ascii="Symbola" w:eastAsia="Symbola"/>
          <w:spacing w:val="-4"/>
          <w:sz w:val="26"/>
        </w:rPr>
        <w:t> </w:t>
      </w:r>
      <w:r>
        <w:rPr>
          <w:rFonts w:ascii="Symbola" w:eastAsia="Symbola"/>
          <w:spacing w:val="-1"/>
          <w:w w:val="88"/>
          <w:sz w:val="26"/>
        </w:rPr>
        <w:t>𝐨</w:t>
      </w:r>
      <w:r>
        <w:rPr>
          <w:rFonts w:ascii="Symbola" w:eastAsia="Symbola"/>
          <w:w w:val="88"/>
          <w:sz w:val="26"/>
        </w:rPr>
        <w:t>𝐟</w:t>
      </w:r>
      <w:r>
        <w:rPr>
          <w:rFonts w:ascii="Symbola" w:eastAsia="Symbola"/>
          <w:spacing w:val="-6"/>
          <w:sz w:val="26"/>
        </w:rPr>
        <w:t> </w:t>
      </w:r>
      <w:r>
        <w:rPr>
          <w:rFonts w:ascii="Symbola" w:eastAsia="Symbola"/>
          <w:w w:val="67"/>
          <w:sz w:val="26"/>
        </w:rPr>
        <w:t>𝐭</w:t>
      </w:r>
      <w:r>
        <w:rPr>
          <w:rFonts w:ascii="Symbola" w:eastAsia="Symbola"/>
          <w:spacing w:val="-2"/>
          <w:w w:val="84"/>
          <w:sz w:val="26"/>
        </w:rPr>
        <w:t>𝐫</w:t>
      </w:r>
      <w:r>
        <w:rPr>
          <w:rFonts w:ascii="Symbola" w:eastAsia="Symbola"/>
          <w:spacing w:val="-1"/>
          <w:w w:val="97"/>
          <w:sz w:val="26"/>
        </w:rPr>
        <w:t>𝐚</w:t>
      </w:r>
      <w:r>
        <w:rPr>
          <w:rFonts w:ascii="Symbola" w:eastAsia="Symbola"/>
          <w:spacing w:val="-1"/>
          <w:w w:val="85"/>
          <w:sz w:val="26"/>
        </w:rPr>
        <w:t>𝐜</w:t>
      </w:r>
      <w:r>
        <w:rPr>
          <w:rFonts w:ascii="Symbola" w:eastAsia="Symbola"/>
          <w:w w:val="83"/>
          <w:sz w:val="26"/>
        </w:rPr>
        <w:t>𝐤</w:t>
      </w:r>
      <w:r>
        <w:rPr>
          <w:rFonts w:ascii="Symbola" w:eastAsia="Symbola"/>
          <w:spacing w:val="1"/>
          <w:w w:val="83"/>
          <w:sz w:val="26"/>
        </w:rPr>
        <w:t>𝐢</w:t>
      </w:r>
      <w:r>
        <w:rPr>
          <w:rFonts w:ascii="Symbola" w:eastAsia="Symbola"/>
          <w:w w:val="102"/>
          <w:sz w:val="26"/>
        </w:rPr>
        <w:t>𝐧𝐠</w:t>
      </w:r>
      <w:r>
        <w:rPr>
          <w:rFonts w:ascii="Symbola" w:eastAsia="Symbola"/>
          <w:spacing w:val="-6"/>
          <w:sz w:val="26"/>
        </w:rPr>
        <w:t> </w:t>
      </w:r>
      <w:r>
        <w:rPr>
          <w:rFonts w:ascii="Symbola" w:eastAsia="Symbola"/>
          <w:spacing w:val="-1"/>
          <w:w w:val="108"/>
          <w:sz w:val="26"/>
        </w:rPr>
        <w:t>𝐝</w:t>
      </w:r>
      <w:r>
        <w:rPr>
          <w:rFonts w:ascii="Symbola" w:eastAsia="Symbola"/>
          <w:spacing w:val="-1"/>
          <w:w w:val="95"/>
          <w:sz w:val="26"/>
        </w:rPr>
        <w:t>𝐲</w:t>
      </w:r>
      <w:r>
        <w:rPr>
          <w:rFonts w:ascii="Symbola" w:eastAsia="Symbola"/>
          <w:w w:val="96"/>
          <w:sz w:val="26"/>
        </w:rPr>
        <w:t>𝐞</w:t>
      </w:r>
    </w:p>
    <w:p>
      <w:pPr>
        <w:pStyle w:val="BodyText"/>
        <w:spacing w:before="9"/>
        <w:rPr>
          <w:rFonts w:ascii="Symbola"/>
          <w:sz w:val="22"/>
        </w:rPr>
      </w:pPr>
      <w:r>
        <w:rPr/>
        <w:drawing>
          <wp:anchor distT="0" distB="0" distL="0" distR="0" allowOverlap="1" layoutInCell="1" locked="0" behindDoc="0" simplePos="0" relativeHeight="284">
            <wp:simplePos x="0" y="0"/>
            <wp:positionH relativeFrom="page">
              <wp:posOffset>3122929</wp:posOffset>
            </wp:positionH>
            <wp:positionV relativeFrom="paragraph">
              <wp:posOffset>170403</wp:posOffset>
            </wp:positionV>
            <wp:extent cx="1338400" cy="4157472"/>
            <wp:effectExtent l="0" t="0" r="0" b="0"/>
            <wp:wrapTopAndBottom/>
            <wp:docPr id="267" name="image138.png" descr="E:\Lab PC\Vishal\India Lab\Lab Data\backup of cd 3122010\Prasad\KMN3_1652010.tif"/>
            <wp:cNvGraphicFramePr>
              <a:graphicFrameLocks noChangeAspect="1"/>
            </wp:cNvGraphicFramePr>
            <a:graphic>
              <a:graphicData uri="http://schemas.openxmlformats.org/drawingml/2006/picture">
                <pic:pic>
                  <pic:nvPicPr>
                    <pic:cNvPr id="268" name="image138.png"/>
                    <pic:cNvPicPr/>
                  </pic:nvPicPr>
                  <pic:blipFill>
                    <a:blip r:embed="rId150" cstate="print"/>
                    <a:stretch>
                      <a:fillRect/>
                    </a:stretch>
                  </pic:blipFill>
                  <pic:spPr>
                    <a:xfrm>
                      <a:off x="0" y="0"/>
                      <a:ext cx="1338400" cy="4157472"/>
                    </a:xfrm>
                    <a:prstGeom prst="rect">
                      <a:avLst/>
                    </a:prstGeom>
                  </pic:spPr>
                </pic:pic>
              </a:graphicData>
            </a:graphic>
          </wp:anchor>
        </w:drawing>
      </w:r>
    </w:p>
    <w:p>
      <w:pPr>
        <w:pStyle w:val="BodyText"/>
        <w:rPr>
          <w:rFonts w:ascii="Symbola"/>
          <w:sz w:val="32"/>
        </w:rPr>
      </w:pPr>
    </w:p>
    <w:p>
      <w:pPr>
        <w:spacing w:before="1"/>
        <w:ind w:left="2349" w:right="0" w:firstLine="0"/>
        <w:jc w:val="left"/>
        <w:rPr>
          <w:b/>
          <w:sz w:val="16"/>
        </w:rPr>
      </w:pPr>
      <w:r>
        <w:rPr>
          <w:b/>
          <w:sz w:val="16"/>
        </w:rPr>
        <w:t>Figure 22.4: SDS-PAGE Profile of a typical bacterial lysate.</w:t>
      </w:r>
    </w:p>
    <w:p>
      <w:pPr>
        <w:spacing w:after="0"/>
        <w:jc w:val="left"/>
        <w:rPr>
          <w:sz w:val="16"/>
        </w:rPr>
        <w:sectPr>
          <w:pgSz w:w="11910" w:h="16840"/>
          <w:pgMar w:header="722" w:footer="748" w:top="1300" w:bottom="940" w:left="1500" w:right="1480"/>
        </w:sectPr>
      </w:pPr>
    </w:p>
    <w:p>
      <w:pPr>
        <w:pStyle w:val="ListParagraph"/>
        <w:numPr>
          <w:ilvl w:val="0"/>
          <w:numId w:val="23"/>
        </w:numPr>
        <w:tabs>
          <w:tab w:pos="598" w:val="left" w:leader="none"/>
        </w:tabs>
        <w:spacing w:line="360" w:lineRule="auto" w:before="119" w:after="0"/>
        <w:ind w:left="300" w:right="318" w:firstLine="0"/>
        <w:jc w:val="both"/>
        <w:rPr>
          <w:sz w:val="24"/>
        </w:rPr>
      </w:pPr>
      <w:r>
        <w:rPr>
          <w:b/>
          <w:sz w:val="24"/>
        </w:rPr>
        <w:t>Native PAGE: </w:t>
      </w:r>
      <w:r>
        <w:rPr>
          <w:sz w:val="24"/>
        </w:rPr>
        <w:t>SDS-PAGE discussed in the previous lecture is using anionic detergent sodium dodecyl sulfate and β-mercaptoethanol to give equal charge to all protein and breaks the disulphide linkage. As a result, the 3-D structure of the protein is destroyed and it migrate as per their subunit molecular weight. In the native PAGE, sample is prepared in the loading dye does not contains detergent or denaturating agent and as a result sample runs on the basis of charge/mass. In native PAGE, the 3- D conformation as well as activity of the protein remains</w:t>
      </w:r>
      <w:r>
        <w:rPr>
          <w:spacing w:val="-9"/>
          <w:sz w:val="24"/>
        </w:rPr>
        <w:t> </w:t>
      </w:r>
      <w:r>
        <w:rPr>
          <w:sz w:val="24"/>
        </w:rPr>
        <w:t>unaffected.</w:t>
      </w:r>
    </w:p>
    <w:p>
      <w:pPr>
        <w:pStyle w:val="ListParagraph"/>
        <w:numPr>
          <w:ilvl w:val="0"/>
          <w:numId w:val="23"/>
        </w:numPr>
        <w:tabs>
          <w:tab w:pos="555" w:val="left" w:leader="none"/>
        </w:tabs>
        <w:spacing w:line="276" w:lineRule="auto" w:before="201" w:after="0"/>
        <w:ind w:left="300" w:right="315" w:firstLine="0"/>
        <w:jc w:val="both"/>
        <w:rPr>
          <w:sz w:val="24"/>
        </w:rPr>
      </w:pPr>
      <w:r>
        <w:rPr>
          <w:b/>
          <w:sz w:val="24"/>
        </w:rPr>
        <w:t>Urea PAGE: </w:t>
      </w:r>
      <w:r>
        <w:rPr>
          <w:sz w:val="24"/>
        </w:rPr>
        <w:t>In this method, insoluable protein is dissolved in Urea and samples separate based on their charge/subunit mass. A gradient Ura PAGE is used to monitor the folding states of a</w:t>
      </w:r>
      <w:r>
        <w:rPr>
          <w:spacing w:val="-7"/>
          <w:sz w:val="24"/>
        </w:rPr>
        <w:t> </w:t>
      </w:r>
      <w:r>
        <w:rPr>
          <w:sz w:val="24"/>
        </w:rPr>
        <w:t>protein.</w:t>
      </w:r>
    </w:p>
    <w:p>
      <w:pPr>
        <w:spacing w:after="0" w:line="276" w:lineRule="auto"/>
        <w:jc w:val="both"/>
        <w:rPr>
          <w:sz w:val="24"/>
        </w:rPr>
        <w:sectPr>
          <w:pgSz w:w="11910" w:h="16840"/>
          <w:pgMar w:header="722" w:footer="748" w:top="1300" w:bottom="940" w:left="1500" w:right="1480"/>
        </w:sectPr>
      </w:pPr>
    </w:p>
    <w:p>
      <w:pPr>
        <w:pStyle w:val="Heading2"/>
        <w:jc w:val="left"/>
      </w:pPr>
      <w:r>
        <w:rPr/>
        <w:t>Lecture 23 Vertical Electrophoresis (Part-II)</w:t>
      </w:r>
    </w:p>
    <w:p>
      <w:pPr>
        <w:pStyle w:val="Heading4"/>
        <w:spacing w:line="448" w:lineRule="auto" w:before="256"/>
        <w:ind w:right="4510"/>
        <w:jc w:val="left"/>
      </w:pPr>
      <w:r>
        <w:rPr/>
        <w:t>Applications of Vertical Electrophoresis Determination of Molecular Weight-</w:t>
      </w:r>
    </w:p>
    <w:p>
      <w:pPr>
        <w:pStyle w:val="BodyText"/>
        <w:spacing w:line="276" w:lineRule="auto"/>
        <w:ind w:left="300" w:right="443"/>
      </w:pPr>
      <w:r>
        <w:rPr/>
        <w:t>Molecular weight of a protein can be determined by plotting relative migration Rf with the log molecular weight of standard</w:t>
      </w:r>
      <w:r>
        <w:rPr>
          <w:spacing w:val="-7"/>
        </w:rPr>
        <w:t> </w:t>
      </w:r>
      <w:r>
        <w:rPr/>
        <w:t>protein.</w:t>
      </w:r>
    </w:p>
    <w:p>
      <w:pPr>
        <w:pStyle w:val="BodyText"/>
        <w:rPr>
          <w:sz w:val="22"/>
        </w:rPr>
      </w:pPr>
    </w:p>
    <w:p>
      <w:pPr>
        <w:tabs>
          <w:tab w:pos="7048" w:val="left" w:leader="dot"/>
        </w:tabs>
        <w:spacing w:line="172" w:lineRule="auto" w:before="0"/>
        <w:ind w:left="924" w:right="0" w:firstLine="0"/>
        <w:jc w:val="left"/>
        <w:rPr>
          <w:b/>
          <w:sz w:val="24"/>
        </w:rPr>
      </w:pPr>
      <w:r>
        <w:rPr/>
        <w:pict>
          <v:rect style="position:absolute;margin-left:167.279999pt;margin-top:13.982046pt;width:212.04pt;height:1.2pt;mso-position-horizontal-relative:page;mso-position-vertical-relative:paragraph;z-index:-18392064" filled="true" fillcolor="#000000" stroked="false">
            <v:fill type="solid"/>
            <w10:wrap type="none"/>
          </v:rect>
        </w:pict>
      </w:r>
      <w:r>
        <w:rPr>
          <w:rFonts w:ascii="Symbola" w:eastAsia="Symbola"/>
          <w:spacing w:val="1"/>
          <w:w w:val="112"/>
          <w:position w:val="-20"/>
          <w:sz w:val="36"/>
        </w:rPr>
        <w:t>𝑹</w:t>
      </w:r>
      <w:r>
        <w:rPr>
          <w:rFonts w:ascii="Symbola" w:eastAsia="Symbola"/>
          <w:w w:val="112"/>
          <w:position w:val="-20"/>
          <w:sz w:val="36"/>
        </w:rPr>
        <w:t>𝒇</w:t>
      </w:r>
      <w:r>
        <w:rPr>
          <w:rFonts w:ascii="Symbola" w:eastAsia="Symbola"/>
          <w:spacing w:val="9"/>
          <w:position w:val="-20"/>
          <w:sz w:val="36"/>
        </w:rPr>
        <w:t> </w:t>
      </w:r>
      <w:r>
        <w:rPr>
          <w:rFonts w:ascii="Symbola" w:eastAsia="Symbola"/>
          <w:w w:val="96"/>
          <w:position w:val="-20"/>
          <w:sz w:val="36"/>
        </w:rPr>
        <w:t>=</w:t>
      </w:r>
      <w:r>
        <w:rPr>
          <w:rFonts w:ascii="Symbola" w:eastAsia="Symbola"/>
          <w:spacing w:val="8"/>
          <w:position w:val="-20"/>
          <w:sz w:val="36"/>
        </w:rPr>
        <w:t> </w:t>
      </w:r>
      <w:r>
        <w:rPr>
          <w:rFonts w:ascii="Symbola" w:eastAsia="Symbola"/>
          <w:w w:val="160"/>
          <w:sz w:val="26"/>
        </w:rPr>
        <w:t>𝐦</w:t>
      </w:r>
      <w:r>
        <w:rPr>
          <w:rFonts w:ascii="Symbola" w:eastAsia="Symbola"/>
          <w:spacing w:val="1"/>
          <w:w w:val="76"/>
          <w:sz w:val="26"/>
        </w:rPr>
        <w:t>𝐢</w:t>
      </w:r>
      <w:r>
        <w:rPr>
          <w:rFonts w:ascii="Symbola" w:eastAsia="Symbola"/>
          <w:spacing w:val="-1"/>
          <w:w w:val="76"/>
          <w:sz w:val="26"/>
        </w:rPr>
        <w:t>𝐠</w:t>
      </w:r>
      <w:r>
        <w:rPr>
          <w:rFonts w:ascii="Symbola" w:eastAsia="Symbola"/>
          <w:spacing w:val="-2"/>
          <w:w w:val="84"/>
          <w:sz w:val="26"/>
        </w:rPr>
        <w:t>𝐫</w:t>
      </w:r>
      <w:r>
        <w:rPr>
          <w:rFonts w:ascii="Symbola" w:eastAsia="Symbola"/>
          <w:spacing w:val="1"/>
          <w:w w:val="97"/>
          <w:sz w:val="26"/>
        </w:rPr>
        <w:t>𝐚</w:t>
      </w:r>
      <w:r>
        <w:rPr>
          <w:rFonts w:ascii="Symbola" w:eastAsia="Symbola"/>
          <w:w w:val="67"/>
          <w:sz w:val="26"/>
        </w:rPr>
        <w:t>𝐭</w:t>
      </w:r>
      <w:r>
        <w:rPr>
          <w:rFonts w:ascii="Symbola" w:eastAsia="Symbola"/>
          <w:spacing w:val="1"/>
          <w:w w:val="80"/>
          <w:sz w:val="26"/>
        </w:rPr>
        <w:t>𝐢</w:t>
      </w:r>
      <w:r>
        <w:rPr>
          <w:rFonts w:ascii="Symbola" w:eastAsia="Symbola"/>
          <w:spacing w:val="-1"/>
          <w:w w:val="80"/>
          <w:sz w:val="26"/>
        </w:rPr>
        <w:t>𝐨</w:t>
      </w:r>
      <w:r>
        <w:rPr>
          <w:rFonts w:ascii="Symbola" w:eastAsia="Symbola"/>
          <w:w w:val="109"/>
          <w:sz w:val="26"/>
        </w:rPr>
        <w:t>𝐧</w:t>
      </w:r>
      <w:r>
        <w:rPr>
          <w:rFonts w:ascii="Symbola" w:eastAsia="Symbola"/>
          <w:spacing w:val="-5"/>
          <w:sz w:val="26"/>
        </w:rPr>
        <w:t> </w:t>
      </w:r>
      <w:r>
        <w:rPr>
          <w:rFonts w:ascii="Symbola" w:eastAsia="Symbola"/>
          <w:spacing w:val="-1"/>
          <w:w w:val="88"/>
          <w:sz w:val="26"/>
        </w:rPr>
        <w:t>𝐨</w:t>
      </w:r>
      <w:r>
        <w:rPr>
          <w:rFonts w:ascii="Symbola" w:eastAsia="Symbola"/>
          <w:w w:val="88"/>
          <w:sz w:val="26"/>
        </w:rPr>
        <w:t>𝐟</w:t>
      </w:r>
      <w:r>
        <w:rPr>
          <w:rFonts w:ascii="Symbola" w:eastAsia="Symbola"/>
          <w:spacing w:val="-8"/>
          <w:sz w:val="26"/>
        </w:rPr>
        <w:t> </w:t>
      </w:r>
      <w:r>
        <w:rPr>
          <w:rFonts w:ascii="Symbola" w:eastAsia="Symbola"/>
          <w:spacing w:val="-1"/>
          <w:w w:val="96"/>
          <w:sz w:val="26"/>
        </w:rPr>
        <w:t>𝐩𝐫</w:t>
      </w:r>
      <w:r>
        <w:rPr>
          <w:rFonts w:ascii="Symbola" w:eastAsia="Symbola"/>
          <w:spacing w:val="-1"/>
          <w:w w:val="85"/>
          <w:sz w:val="26"/>
        </w:rPr>
        <w:t>𝐨</w:t>
      </w:r>
      <w:r>
        <w:rPr>
          <w:rFonts w:ascii="Symbola" w:eastAsia="Symbola"/>
          <w:w w:val="85"/>
          <w:sz w:val="26"/>
        </w:rPr>
        <w:t>𝐭</w:t>
      </w:r>
      <w:r>
        <w:rPr>
          <w:rFonts w:ascii="Symbola" w:eastAsia="Symbola"/>
          <w:w w:val="96"/>
          <w:sz w:val="26"/>
        </w:rPr>
        <w:t>𝐞</w:t>
      </w:r>
      <w:r>
        <w:rPr>
          <w:rFonts w:ascii="Symbola" w:eastAsia="Symbola"/>
          <w:spacing w:val="1"/>
          <w:w w:val="58"/>
          <w:sz w:val="26"/>
        </w:rPr>
        <w:t>𝐢</w:t>
      </w:r>
      <w:r>
        <w:rPr>
          <w:rFonts w:ascii="Symbola" w:eastAsia="Symbola"/>
          <w:w w:val="109"/>
          <w:sz w:val="26"/>
        </w:rPr>
        <w:t>𝐧</w:t>
      </w:r>
      <w:r>
        <w:rPr>
          <w:rFonts w:ascii="Symbola" w:eastAsia="Symbola"/>
          <w:spacing w:val="-5"/>
          <w:sz w:val="26"/>
        </w:rPr>
        <w:t> </w:t>
      </w:r>
      <w:r>
        <w:rPr>
          <w:rFonts w:ascii="Symbola" w:eastAsia="Symbola"/>
          <w:w w:val="73"/>
          <w:sz w:val="26"/>
        </w:rPr>
        <w:t>𝐟</w:t>
      </w:r>
      <w:r>
        <w:rPr>
          <w:rFonts w:ascii="Symbola" w:eastAsia="Symbola"/>
          <w:spacing w:val="-2"/>
          <w:w w:val="93"/>
          <w:sz w:val="26"/>
        </w:rPr>
        <w:t>𝐫</w:t>
      </w:r>
      <w:r>
        <w:rPr>
          <w:rFonts w:ascii="Symbola" w:eastAsia="Symbola"/>
          <w:spacing w:val="-1"/>
          <w:w w:val="93"/>
          <w:sz w:val="26"/>
        </w:rPr>
        <w:t>𝐨</w:t>
      </w:r>
      <w:r>
        <w:rPr>
          <w:rFonts w:ascii="Symbola" w:eastAsia="Symbola"/>
          <w:w w:val="160"/>
          <w:sz w:val="26"/>
        </w:rPr>
        <w:t>𝐦</w:t>
      </w:r>
      <w:r>
        <w:rPr>
          <w:rFonts w:ascii="Symbola" w:eastAsia="Symbola"/>
          <w:spacing w:val="-5"/>
          <w:sz w:val="26"/>
        </w:rPr>
        <w:t> </w:t>
      </w:r>
      <w:r>
        <w:rPr>
          <w:rFonts w:ascii="Symbola" w:eastAsia="Symbola"/>
          <w:w w:val="90"/>
          <w:sz w:val="26"/>
        </w:rPr>
        <w:t>𝐭𝐡𝐞</w:t>
      </w:r>
      <w:r>
        <w:rPr>
          <w:rFonts w:ascii="Symbola" w:eastAsia="Symbola"/>
          <w:spacing w:val="-8"/>
          <w:sz w:val="26"/>
        </w:rPr>
        <w:t> </w:t>
      </w:r>
      <w:r>
        <w:rPr>
          <w:rFonts w:ascii="Symbola" w:eastAsia="Symbola"/>
          <w:w w:val="57"/>
          <w:sz w:val="26"/>
        </w:rPr>
        <w:t>𝐥</w:t>
      </w:r>
      <w:r>
        <w:rPr>
          <w:rFonts w:ascii="Symbola" w:eastAsia="Symbola"/>
          <w:spacing w:val="-1"/>
          <w:w w:val="97"/>
          <w:sz w:val="26"/>
        </w:rPr>
        <w:t>𝐚</w:t>
      </w:r>
      <w:r>
        <w:rPr>
          <w:rFonts w:ascii="Symbola" w:eastAsia="Symbola"/>
          <w:w w:val="109"/>
          <w:sz w:val="26"/>
        </w:rPr>
        <w:t>𝐧</w:t>
      </w:r>
      <w:r>
        <w:rPr>
          <w:rFonts w:ascii="Symbola" w:eastAsia="Symbola"/>
          <w:w w:val="96"/>
          <w:sz w:val="26"/>
        </w:rPr>
        <w:t>𝐞</w:t>
      </w:r>
      <w:r>
        <w:rPr>
          <w:w w:val="99"/>
          <w:sz w:val="26"/>
        </w:rPr>
        <w:t> </w:t>
      </w:r>
      <w:r>
        <w:rPr>
          <w:sz w:val="26"/>
        </w:rPr>
        <w:tab/>
      </w:r>
      <w:r>
        <w:rPr>
          <w:b/>
          <w:position w:val="-20"/>
          <w:sz w:val="24"/>
        </w:rPr>
        <w:t>E</w:t>
      </w:r>
      <w:r>
        <w:rPr>
          <w:b/>
          <w:w w:val="99"/>
          <w:position w:val="-20"/>
          <w:sz w:val="24"/>
        </w:rPr>
        <w:t>q</w:t>
      </w:r>
      <w:r>
        <w:rPr>
          <w:b/>
          <w:position w:val="-20"/>
          <w:sz w:val="24"/>
        </w:rPr>
        <w:t> </w:t>
      </w:r>
      <w:r>
        <w:rPr>
          <w:b/>
          <w:spacing w:val="-1"/>
          <w:position w:val="-20"/>
          <w:sz w:val="24"/>
        </w:rPr>
        <w:t>(</w:t>
      </w:r>
      <w:r>
        <w:rPr>
          <w:b/>
          <w:position w:val="-20"/>
          <w:sz w:val="24"/>
        </w:rPr>
        <w:t>23.1)</w:t>
      </w:r>
    </w:p>
    <w:p>
      <w:pPr>
        <w:spacing w:line="240" w:lineRule="exact" w:before="0"/>
        <w:ind w:left="2397" w:right="0" w:firstLine="0"/>
        <w:jc w:val="left"/>
        <w:rPr>
          <w:rFonts w:ascii="Symbola" w:eastAsia="Symbola"/>
          <w:sz w:val="26"/>
        </w:rPr>
      </w:pPr>
      <w:r>
        <w:rPr>
          <w:rFonts w:ascii="Symbola" w:eastAsia="Symbola"/>
          <w:w w:val="160"/>
          <w:sz w:val="26"/>
        </w:rPr>
        <w:t>𝐦</w:t>
      </w:r>
      <w:r>
        <w:rPr>
          <w:rFonts w:ascii="Symbola" w:eastAsia="Symbola"/>
          <w:spacing w:val="1"/>
          <w:w w:val="76"/>
          <w:sz w:val="26"/>
        </w:rPr>
        <w:t>𝐢</w:t>
      </w:r>
      <w:r>
        <w:rPr>
          <w:rFonts w:ascii="Symbola" w:eastAsia="Symbola"/>
          <w:spacing w:val="-1"/>
          <w:w w:val="76"/>
          <w:sz w:val="26"/>
        </w:rPr>
        <w:t>𝐠</w:t>
      </w:r>
      <w:r>
        <w:rPr>
          <w:rFonts w:ascii="Symbola" w:eastAsia="Symbola"/>
          <w:spacing w:val="1"/>
          <w:w w:val="84"/>
          <w:sz w:val="26"/>
        </w:rPr>
        <w:t>𝐫</w:t>
      </w:r>
      <w:r>
        <w:rPr>
          <w:rFonts w:ascii="Symbola" w:eastAsia="Symbola"/>
          <w:spacing w:val="-1"/>
          <w:w w:val="97"/>
          <w:sz w:val="26"/>
        </w:rPr>
        <w:t>𝐚</w:t>
      </w:r>
      <w:r>
        <w:rPr>
          <w:rFonts w:ascii="Symbola" w:eastAsia="Symbola"/>
          <w:w w:val="67"/>
          <w:sz w:val="26"/>
        </w:rPr>
        <w:t>𝐭</w:t>
      </w:r>
      <w:r>
        <w:rPr>
          <w:rFonts w:ascii="Symbola" w:eastAsia="Symbola"/>
          <w:spacing w:val="1"/>
          <w:w w:val="80"/>
          <w:sz w:val="26"/>
        </w:rPr>
        <w:t>𝐢</w:t>
      </w:r>
      <w:r>
        <w:rPr>
          <w:rFonts w:ascii="Symbola" w:eastAsia="Symbola"/>
          <w:spacing w:val="-1"/>
          <w:w w:val="80"/>
          <w:sz w:val="26"/>
        </w:rPr>
        <w:t>𝐨</w:t>
      </w:r>
      <w:r>
        <w:rPr>
          <w:rFonts w:ascii="Symbola" w:eastAsia="Symbola"/>
          <w:w w:val="109"/>
          <w:sz w:val="26"/>
        </w:rPr>
        <w:t>𝐧</w:t>
      </w:r>
      <w:r>
        <w:rPr>
          <w:rFonts w:ascii="Symbola" w:eastAsia="Symbola"/>
          <w:spacing w:val="-4"/>
          <w:sz w:val="26"/>
        </w:rPr>
        <w:t> </w:t>
      </w:r>
      <w:r>
        <w:rPr>
          <w:rFonts w:ascii="Symbola" w:eastAsia="Symbola"/>
          <w:spacing w:val="-1"/>
          <w:w w:val="88"/>
          <w:sz w:val="26"/>
        </w:rPr>
        <w:t>𝐨</w:t>
      </w:r>
      <w:r>
        <w:rPr>
          <w:rFonts w:ascii="Symbola" w:eastAsia="Symbola"/>
          <w:w w:val="88"/>
          <w:sz w:val="26"/>
        </w:rPr>
        <w:t>𝐟</w:t>
      </w:r>
      <w:r>
        <w:rPr>
          <w:rFonts w:ascii="Symbola" w:eastAsia="Symbola"/>
          <w:spacing w:val="-6"/>
          <w:sz w:val="26"/>
        </w:rPr>
        <w:t> </w:t>
      </w:r>
      <w:r>
        <w:rPr>
          <w:rFonts w:ascii="Symbola" w:eastAsia="Symbola"/>
          <w:w w:val="67"/>
          <w:sz w:val="26"/>
        </w:rPr>
        <w:t>𝐭</w:t>
      </w:r>
      <w:r>
        <w:rPr>
          <w:rFonts w:ascii="Symbola" w:eastAsia="Symbola"/>
          <w:spacing w:val="-2"/>
          <w:w w:val="84"/>
          <w:sz w:val="26"/>
        </w:rPr>
        <w:t>𝐫</w:t>
      </w:r>
      <w:r>
        <w:rPr>
          <w:rFonts w:ascii="Symbola" w:eastAsia="Symbola"/>
          <w:spacing w:val="-1"/>
          <w:w w:val="97"/>
          <w:sz w:val="26"/>
        </w:rPr>
        <w:t>𝐚</w:t>
      </w:r>
      <w:r>
        <w:rPr>
          <w:rFonts w:ascii="Symbola" w:eastAsia="Symbola"/>
          <w:spacing w:val="-1"/>
          <w:w w:val="85"/>
          <w:sz w:val="26"/>
        </w:rPr>
        <w:t>𝐜</w:t>
      </w:r>
      <w:r>
        <w:rPr>
          <w:rFonts w:ascii="Symbola" w:eastAsia="Symbola"/>
          <w:w w:val="83"/>
          <w:sz w:val="26"/>
        </w:rPr>
        <w:t>𝐤</w:t>
      </w:r>
      <w:r>
        <w:rPr>
          <w:rFonts w:ascii="Symbola" w:eastAsia="Symbola"/>
          <w:spacing w:val="1"/>
          <w:w w:val="83"/>
          <w:sz w:val="26"/>
        </w:rPr>
        <w:t>𝐢</w:t>
      </w:r>
      <w:r>
        <w:rPr>
          <w:rFonts w:ascii="Symbola" w:eastAsia="Symbola"/>
          <w:w w:val="102"/>
          <w:sz w:val="26"/>
        </w:rPr>
        <w:t>𝐧𝐠</w:t>
      </w:r>
      <w:r>
        <w:rPr>
          <w:rFonts w:ascii="Symbola" w:eastAsia="Symbola"/>
          <w:spacing w:val="-6"/>
          <w:sz w:val="26"/>
        </w:rPr>
        <w:t> </w:t>
      </w:r>
      <w:r>
        <w:rPr>
          <w:rFonts w:ascii="Symbola" w:eastAsia="Symbola"/>
          <w:spacing w:val="-1"/>
          <w:w w:val="108"/>
          <w:sz w:val="26"/>
        </w:rPr>
        <w:t>𝐝</w:t>
      </w:r>
      <w:r>
        <w:rPr>
          <w:rFonts w:ascii="Symbola" w:eastAsia="Symbola"/>
          <w:spacing w:val="-1"/>
          <w:w w:val="95"/>
          <w:sz w:val="26"/>
        </w:rPr>
        <w:t>𝐲</w:t>
      </w:r>
      <w:r>
        <w:rPr>
          <w:rFonts w:ascii="Symbola" w:eastAsia="Symbola"/>
          <w:w w:val="96"/>
          <w:sz w:val="26"/>
        </w:rPr>
        <w:t>𝐞</w:t>
      </w:r>
    </w:p>
    <w:p>
      <w:pPr>
        <w:pStyle w:val="BodyText"/>
        <w:rPr>
          <w:rFonts w:ascii="Symbola"/>
          <w:sz w:val="17"/>
        </w:rPr>
      </w:pPr>
    </w:p>
    <w:p>
      <w:pPr>
        <w:pStyle w:val="BodyText"/>
        <w:spacing w:line="360" w:lineRule="auto" w:before="90"/>
        <w:ind w:left="299" w:right="317"/>
        <w:jc w:val="both"/>
      </w:pPr>
      <w:r>
        <w:rPr/>
        <w:t>The value of the relative migration (Rf) is calculated from the SDS-PAGE. For each protein band, a line is drawn from the middle of the band and then the distance from the lane is measured. A distance for dye front is also measured. The values of relative migration (Rf) and log molecular weight of the standard protein is used to draw the calibration curve to calculate the molecular weight of the unknown sample (Figure 23.1).</w:t>
      </w:r>
    </w:p>
    <w:p>
      <w:pPr>
        <w:pStyle w:val="BodyText"/>
        <w:spacing w:before="7"/>
        <w:rPr>
          <w:sz w:val="14"/>
        </w:rPr>
      </w:pPr>
      <w:r>
        <w:rPr/>
        <w:drawing>
          <wp:anchor distT="0" distB="0" distL="0" distR="0" allowOverlap="1" layoutInCell="1" locked="0" behindDoc="0" simplePos="0" relativeHeight="286">
            <wp:simplePos x="0" y="0"/>
            <wp:positionH relativeFrom="page">
              <wp:posOffset>1379639</wp:posOffset>
            </wp:positionH>
            <wp:positionV relativeFrom="paragraph">
              <wp:posOffset>131806</wp:posOffset>
            </wp:positionV>
            <wp:extent cx="4808091" cy="3151632"/>
            <wp:effectExtent l="0" t="0" r="0" b="0"/>
            <wp:wrapTopAndBottom/>
            <wp:docPr id="269" name="image139.png"/>
            <wp:cNvGraphicFramePr>
              <a:graphicFrameLocks noChangeAspect="1"/>
            </wp:cNvGraphicFramePr>
            <a:graphic>
              <a:graphicData uri="http://schemas.openxmlformats.org/drawingml/2006/picture">
                <pic:pic>
                  <pic:nvPicPr>
                    <pic:cNvPr id="270" name="image139.png"/>
                    <pic:cNvPicPr/>
                  </pic:nvPicPr>
                  <pic:blipFill>
                    <a:blip r:embed="rId151" cstate="print"/>
                    <a:stretch>
                      <a:fillRect/>
                    </a:stretch>
                  </pic:blipFill>
                  <pic:spPr>
                    <a:xfrm>
                      <a:off x="0" y="0"/>
                      <a:ext cx="4808091" cy="3151632"/>
                    </a:xfrm>
                    <a:prstGeom prst="rect">
                      <a:avLst/>
                    </a:prstGeom>
                  </pic:spPr>
                </pic:pic>
              </a:graphicData>
            </a:graphic>
          </wp:anchor>
        </w:drawing>
      </w:r>
    </w:p>
    <w:p>
      <w:pPr>
        <w:pStyle w:val="BodyText"/>
        <w:spacing w:before="2"/>
        <w:rPr>
          <w:sz w:val="26"/>
        </w:rPr>
      </w:pPr>
    </w:p>
    <w:p>
      <w:pPr>
        <w:spacing w:before="0"/>
        <w:ind w:left="813" w:right="0" w:firstLine="0"/>
        <w:jc w:val="left"/>
        <w:rPr>
          <w:b/>
          <w:sz w:val="16"/>
        </w:rPr>
      </w:pPr>
      <w:r>
        <w:rPr>
          <w:b/>
          <w:sz w:val="16"/>
        </w:rPr>
        <w:t>Figure 23.1: Determination of molecular weight using SDS-PAGE. (A) SDS-PAGE (B) Determinaion of Rf.</w:t>
      </w:r>
    </w:p>
    <w:p>
      <w:pPr>
        <w:spacing w:after="0"/>
        <w:jc w:val="left"/>
        <w:rPr>
          <w:sz w:val="16"/>
        </w:rPr>
        <w:sectPr>
          <w:pgSz w:w="11910" w:h="16840"/>
          <w:pgMar w:header="722" w:footer="748" w:top="1300" w:bottom="940" w:left="1500" w:right="1480"/>
        </w:sectPr>
      </w:pPr>
    </w:p>
    <w:p>
      <w:pPr>
        <w:pStyle w:val="BodyText"/>
        <w:spacing w:line="360" w:lineRule="auto" w:before="119"/>
        <w:ind w:left="299" w:right="316"/>
        <w:jc w:val="both"/>
      </w:pPr>
      <w:r>
        <w:rPr>
          <w:b/>
        </w:rPr>
        <w:t>Determination of Oligomeric status of the protein-</w:t>
      </w:r>
      <w:r>
        <w:rPr/>
        <w:t>The polyacrylamide gel electrophoresis can be use to determine the oligomeric status of the protein. A protein sample can be run under the denaturating as well as in the native conditions in two separate gel. The protein of the known molecular weight runs on both gels and a Rf value is calculated for the standard proteins as described. A calibration curve from native and denaturating gel is used to determine the molecular weight (native and denaturating) of the protein. The oligomeric status of the protein is calculated from the formula given</w:t>
      </w:r>
      <w:r>
        <w:rPr>
          <w:spacing w:val="-1"/>
        </w:rPr>
        <w:t> </w:t>
      </w:r>
      <w:r>
        <w:rPr/>
        <w:t>below:</w:t>
      </w:r>
    </w:p>
    <w:p>
      <w:pPr>
        <w:pStyle w:val="BodyText"/>
        <w:spacing w:before="2"/>
        <w:rPr>
          <w:sz w:val="23"/>
        </w:rPr>
      </w:pPr>
    </w:p>
    <w:p>
      <w:pPr>
        <w:pStyle w:val="Heading1"/>
        <w:ind w:left="861"/>
      </w:pPr>
      <w:r>
        <w:rPr>
          <w:spacing w:val="1"/>
          <w:w w:val="126"/>
        </w:rPr>
        <w:t>𝐎</w:t>
      </w:r>
      <w:r>
        <w:rPr>
          <w:spacing w:val="-1"/>
          <w:w w:val="57"/>
        </w:rPr>
        <w:t>𝐥𝐢</w:t>
      </w:r>
      <w:r>
        <w:rPr>
          <w:w w:val="95"/>
        </w:rPr>
        <w:t>𝐠</w:t>
      </w:r>
      <w:r>
        <w:rPr>
          <w:spacing w:val="1"/>
          <w:w w:val="103"/>
        </w:rPr>
        <w:t>𝐨</w:t>
      </w:r>
      <w:r>
        <w:rPr>
          <w:w w:val="160"/>
        </w:rPr>
        <w:t>𝐦</w:t>
      </w:r>
      <w:r>
        <w:rPr>
          <w:w w:val="96"/>
        </w:rPr>
        <w:t>𝐞</w:t>
      </w:r>
      <w:r>
        <w:rPr>
          <w:spacing w:val="-2"/>
          <w:w w:val="71"/>
        </w:rPr>
        <w:t>𝐫</w:t>
      </w:r>
      <w:r>
        <w:rPr>
          <w:spacing w:val="-1"/>
          <w:w w:val="71"/>
        </w:rPr>
        <w:t>𝐢</w:t>
      </w:r>
      <w:r>
        <w:rPr>
          <w:w w:val="85"/>
        </w:rPr>
        <w:t>𝐜</w:t>
      </w:r>
      <w:r>
        <w:rPr>
          <w:spacing w:val="-10"/>
        </w:rPr>
        <w:t> </w:t>
      </w:r>
      <w:r>
        <w:rPr>
          <w:spacing w:val="-1"/>
          <w:w w:val="93"/>
        </w:rPr>
        <w:t>𝐒</w:t>
      </w:r>
      <w:r>
        <w:rPr>
          <w:w w:val="82"/>
        </w:rPr>
        <w:t>𝐭</w:t>
      </w:r>
      <w:r>
        <w:rPr>
          <w:spacing w:val="-2"/>
          <w:w w:val="82"/>
        </w:rPr>
        <w:t>𝐚</w:t>
      </w:r>
      <w:r>
        <w:rPr>
          <w:w w:val="88"/>
        </w:rPr>
        <w:t>𝐭𝐮</w:t>
      </w:r>
      <w:r>
        <w:rPr>
          <w:w w:val="84"/>
        </w:rPr>
        <w:t>𝐬</w:t>
      </w:r>
    </w:p>
    <w:p>
      <w:pPr>
        <w:tabs>
          <w:tab w:pos="1785" w:val="left" w:leader="none"/>
        </w:tabs>
        <w:spacing w:line="199" w:lineRule="auto" w:before="93"/>
        <w:ind w:left="971" w:right="0" w:firstLine="0"/>
        <w:jc w:val="center"/>
        <w:rPr>
          <w:rFonts w:ascii="Symbola" w:eastAsia="Symbola"/>
          <w:sz w:val="36"/>
        </w:rPr>
      </w:pPr>
      <w:r>
        <w:rPr/>
        <w:pict>
          <v:rect style="position:absolute;margin-left:208.440002pt;margin-top:27.080618pt;width:268.8pt;height:1.2pt;mso-position-horizontal-relative:page;mso-position-vertical-relative:paragraph;z-index:-18391552" filled="true" fillcolor="#000000" stroked="false">
            <v:fill type="solid"/>
            <w10:wrap type="none"/>
          </v:rect>
        </w:pict>
      </w:r>
      <w:r>
        <w:rPr>
          <w:rFonts w:ascii="Symbola" w:eastAsia="Symbola"/>
          <w:w w:val="96"/>
          <w:position w:val="-26"/>
          <w:sz w:val="36"/>
        </w:rPr>
        <w:t>=</w:t>
      </w:r>
      <w:r>
        <w:rPr>
          <w:rFonts w:ascii="Symbola" w:eastAsia="Symbola"/>
          <w:position w:val="-26"/>
          <w:sz w:val="36"/>
        </w:rPr>
        <w:tab/>
      </w:r>
      <w:r>
        <w:rPr>
          <w:rFonts w:ascii="Symbola" w:eastAsia="Symbola"/>
          <w:spacing w:val="-1"/>
          <w:w w:val="153"/>
          <w:sz w:val="36"/>
        </w:rPr>
        <w:t>𝐌</w:t>
      </w:r>
      <w:r>
        <w:rPr>
          <w:rFonts w:ascii="Symbola" w:eastAsia="Symbola"/>
          <w:spacing w:val="1"/>
          <w:w w:val="103"/>
          <w:sz w:val="36"/>
        </w:rPr>
        <w:t>𝐨</w:t>
      </w:r>
      <w:r>
        <w:rPr>
          <w:rFonts w:ascii="Symbola" w:eastAsia="Symbola"/>
          <w:spacing w:val="-1"/>
          <w:w w:val="77"/>
          <w:sz w:val="36"/>
        </w:rPr>
        <w:t>𝐥</w:t>
      </w:r>
      <w:r>
        <w:rPr>
          <w:rFonts w:ascii="Symbola" w:eastAsia="Symbola"/>
          <w:w w:val="77"/>
          <w:sz w:val="36"/>
        </w:rPr>
        <w:t>𝐞</w:t>
      </w:r>
      <w:r>
        <w:rPr>
          <w:rFonts w:ascii="Symbola" w:eastAsia="Symbola"/>
          <w:spacing w:val="1"/>
          <w:w w:val="85"/>
          <w:sz w:val="36"/>
        </w:rPr>
        <w:t>𝐜</w:t>
      </w:r>
      <w:r>
        <w:rPr>
          <w:rFonts w:ascii="Symbola" w:eastAsia="Symbola"/>
          <w:w w:val="108"/>
          <w:sz w:val="36"/>
        </w:rPr>
        <w:t>𝐮</w:t>
      </w:r>
      <w:r>
        <w:rPr>
          <w:rFonts w:ascii="Symbola" w:eastAsia="Symbola"/>
          <w:spacing w:val="-1"/>
          <w:w w:val="79"/>
          <w:sz w:val="36"/>
        </w:rPr>
        <w:t>𝐥𝐚</w:t>
      </w:r>
      <w:r>
        <w:rPr>
          <w:rFonts w:ascii="Symbola" w:eastAsia="Symbola"/>
          <w:w w:val="79"/>
          <w:sz w:val="36"/>
        </w:rPr>
        <w:t>𝐫</w:t>
      </w:r>
      <w:r>
        <w:rPr>
          <w:rFonts w:ascii="Symbola" w:eastAsia="Symbola"/>
          <w:spacing w:val="-8"/>
          <w:sz w:val="36"/>
        </w:rPr>
        <w:t> </w:t>
      </w:r>
      <w:r>
        <w:rPr>
          <w:rFonts w:ascii="Symbola" w:eastAsia="Symbola"/>
          <w:spacing w:val="-1"/>
          <w:w w:val="173"/>
          <w:sz w:val="36"/>
        </w:rPr>
        <w:t>𝐖</w:t>
      </w:r>
      <w:r>
        <w:rPr>
          <w:rFonts w:ascii="Symbola" w:eastAsia="Symbola"/>
          <w:w w:val="96"/>
          <w:sz w:val="36"/>
        </w:rPr>
        <w:t>𝐞</w:t>
      </w:r>
      <w:r>
        <w:rPr>
          <w:rFonts w:ascii="Symbola" w:eastAsia="Symbola"/>
          <w:spacing w:val="-1"/>
          <w:w w:val="58"/>
          <w:sz w:val="36"/>
        </w:rPr>
        <w:t>𝐢</w:t>
      </w:r>
      <w:r>
        <w:rPr>
          <w:rFonts w:ascii="Symbola" w:eastAsia="Symbola"/>
          <w:w w:val="95"/>
          <w:sz w:val="36"/>
        </w:rPr>
        <w:t>𝐠</w:t>
      </w:r>
      <w:r>
        <w:rPr>
          <w:rFonts w:ascii="Symbola" w:eastAsia="Symbola"/>
          <w:w w:val="108"/>
          <w:sz w:val="36"/>
        </w:rPr>
        <w:t>𝐡</w:t>
      </w:r>
      <w:r>
        <w:rPr>
          <w:rFonts w:ascii="Symbola" w:eastAsia="Symbola"/>
          <w:w w:val="67"/>
          <w:sz w:val="36"/>
        </w:rPr>
        <w:t>𝐭</w:t>
      </w:r>
      <w:r>
        <w:rPr>
          <w:rFonts w:ascii="Symbola" w:eastAsia="Symbola"/>
          <w:spacing w:val="-11"/>
          <w:sz w:val="36"/>
        </w:rPr>
        <w:t> </w:t>
      </w:r>
      <w:r>
        <w:rPr>
          <w:rFonts w:ascii="Symbola" w:eastAsia="Symbola"/>
          <w:spacing w:val="-1"/>
          <w:w w:val="124"/>
          <w:position w:val="1"/>
          <w:sz w:val="36"/>
        </w:rPr>
        <w:t>(</w:t>
      </w:r>
      <w:r>
        <w:rPr>
          <w:rFonts w:ascii="Symbola" w:eastAsia="Symbola"/>
          <w:spacing w:val="-1"/>
          <w:w w:val="123"/>
          <w:sz w:val="36"/>
        </w:rPr>
        <w:t>𝐍</w:t>
      </w:r>
      <w:r>
        <w:rPr>
          <w:rFonts w:ascii="Symbola" w:eastAsia="Symbola"/>
          <w:spacing w:val="-1"/>
          <w:w w:val="97"/>
          <w:sz w:val="36"/>
        </w:rPr>
        <w:t>𝐚</w:t>
      </w:r>
      <w:r>
        <w:rPr>
          <w:rFonts w:ascii="Symbola" w:eastAsia="Symbola"/>
          <w:w w:val="63"/>
          <w:sz w:val="36"/>
        </w:rPr>
        <w:t>𝐭</w:t>
      </w:r>
      <w:r>
        <w:rPr>
          <w:rFonts w:ascii="Symbola" w:eastAsia="Symbola"/>
          <w:spacing w:val="-1"/>
          <w:w w:val="63"/>
          <w:sz w:val="36"/>
        </w:rPr>
        <w:t>𝐢</w:t>
      </w:r>
      <w:r>
        <w:rPr>
          <w:rFonts w:ascii="Symbola" w:eastAsia="Symbola"/>
          <w:spacing w:val="-1"/>
          <w:w w:val="96"/>
          <w:sz w:val="36"/>
        </w:rPr>
        <w:t>𝐯</w:t>
      </w:r>
      <w:r>
        <w:rPr>
          <w:rFonts w:ascii="Symbola" w:eastAsia="Symbola"/>
          <w:w w:val="96"/>
          <w:sz w:val="36"/>
        </w:rPr>
        <w:t>𝐞</w:t>
      </w:r>
      <w:r>
        <w:rPr>
          <w:rFonts w:ascii="Symbola" w:eastAsia="Symbola"/>
          <w:w w:val="124"/>
          <w:position w:val="1"/>
          <w:sz w:val="36"/>
        </w:rPr>
        <w:t>)</w:t>
      </w:r>
    </w:p>
    <w:p>
      <w:pPr>
        <w:spacing w:line="303" w:lineRule="exact" w:before="0"/>
        <w:ind w:left="2668" w:right="0" w:firstLine="0"/>
        <w:jc w:val="left"/>
        <w:rPr>
          <w:rFonts w:ascii="Symbola" w:hAnsi="Symbola" w:eastAsia="Symbola"/>
          <w:sz w:val="36"/>
        </w:rPr>
      </w:pPr>
      <w:r>
        <w:rPr>
          <w:rFonts w:ascii="Symbola" w:hAnsi="Symbola" w:eastAsia="Symbola"/>
          <w:spacing w:val="-1"/>
          <w:w w:val="153"/>
          <w:sz w:val="36"/>
        </w:rPr>
        <w:t>𝐌</w:t>
      </w:r>
      <w:r>
        <w:rPr>
          <w:rFonts w:ascii="Symbola" w:hAnsi="Symbola" w:eastAsia="Symbola"/>
          <w:spacing w:val="1"/>
          <w:w w:val="103"/>
          <w:sz w:val="36"/>
        </w:rPr>
        <w:t>𝐨</w:t>
      </w:r>
      <w:r>
        <w:rPr>
          <w:rFonts w:ascii="Symbola" w:hAnsi="Symbola" w:eastAsia="Symbola"/>
          <w:spacing w:val="-1"/>
          <w:w w:val="77"/>
          <w:sz w:val="36"/>
        </w:rPr>
        <w:t>𝐥</w:t>
      </w:r>
      <w:r>
        <w:rPr>
          <w:rFonts w:ascii="Symbola" w:hAnsi="Symbola" w:eastAsia="Symbola"/>
          <w:w w:val="77"/>
          <w:sz w:val="36"/>
        </w:rPr>
        <w:t>𝐞</w:t>
      </w:r>
      <w:r>
        <w:rPr>
          <w:rFonts w:ascii="Symbola" w:hAnsi="Symbola" w:eastAsia="Symbola"/>
          <w:spacing w:val="1"/>
          <w:w w:val="85"/>
          <w:sz w:val="36"/>
        </w:rPr>
        <w:t>𝐜</w:t>
      </w:r>
      <w:r>
        <w:rPr>
          <w:rFonts w:ascii="Symbola" w:hAnsi="Symbola" w:eastAsia="Symbola"/>
          <w:w w:val="108"/>
          <w:sz w:val="36"/>
        </w:rPr>
        <w:t>𝐮</w:t>
      </w:r>
      <w:r>
        <w:rPr>
          <w:rFonts w:ascii="Symbola" w:hAnsi="Symbola" w:eastAsia="Symbola"/>
          <w:spacing w:val="-1"/>
          <w:w w:val="79"/>
          <w:sz w:val="36"/>
        </w:rPr>
        <w:t>𝐥𝐚</w:t>
      </w:r>
      <w:r>
        <w:rPr>
          <w:rFonts w:ascii="Symbola" w:hAnsi="Symbola" w:eastAsia="Symbola"/>
          <w:w w:val="79"/>
          <w:sz w:val="36"/>
        </w:rPr>
        <w:t>𝐫</w:t>
      </w:r>
      <w:r>
        <w:rPr>
          <w:rFonts w:ascii="Symbola" w:hAnsi="Symbola" w:eastAsia="Symbola"/>
          <w:spacing w:val="-10"/>
          <w:sz w:val="36"/>
        </w:rPr>
        <w:t> </w:t>
      </w:r>
      <w:r>
        <w:rPr>
          <w:rFonts w:ascii="Symbola" w:hAnsi="Symbola" w:eastAsia="Symbola"/>
          <w:spacing w:val="-1"/>
          <w:w w:val="173"/>
          <w:sz w:val="36"/>
        </w:rPr>
        <w:t>𝐖</w:t>
      </w:r>
      <w:r>
        <w:rPr>
          <w:rFonts w:ascii="Symbola" w:hAnsi="Symbola" w:eastAsia="Symbola"/>
          <w:w w:val="96"/>
          <w:sz w:val="36"/>
        </w:rPr>
        <w:t>𝐞</w:t>
      </w:r>
      <w:r>
        <w:rPr>
          <w:rFonts w:ascii="Symbola" w:hAnsi="Symbola" w:eastAsia="Symbola"/>
          <w:spacing w:val="-1"/>
          <w:w w:val="77"/>
          <w:sz w:val="36"/>
        </w:rPr>
        <w:t>𝐢</w:t>
      </w:r>
      <w:r>
        <w:rPr>
          <w:rFonts w:ascii="Symbola" w:hAnsi="Symbola" w:eastAsia="Symbola"/>
          <w:w w:val="77"/>
          <w:sz w:val="36"/>
        </w:rPr>
        <w:t>𝐠</w:t>
      </w:r>
      <w:r>
        <w:rPr>
          <w:rFonts w:ascii="Symbola" w:hAnsi="Symbola" w:eastAsia="Symbola"/>
          <w:w w:val="108"/>
          <w:sz w:val="36"/>
        </w:rPr>
        <w:t>𝐡</w:t>
      </w:r>
      <w:r>
        <w:rPr>
          <w:rFonts w:ascii="Symbola" w:hAnsi="Symbola" w:eastAsia="Symbola"/>
          <w:w w:val="67"/>
          <w:sz w:val="36"/>
        </w:rPr>
        <w:t>𝐭</w:t>
      </w:r>
      <w:r>
        <w:rPr>
          <w:rFonts w:ascii="Symbola" w:hAnsi="Symbola" w:eastAsia="Symbola"/>
          <w:spacing w:val="-11"/>
          <w:sz w:val="36"/>
        </w:rPr>
        <w:t> </w:t>
      </w:r>
      <w:r>
        <w:rPr>
          <w:rFonts w:ascii="Symbola" w:hAnsi="Symbola" w:eastAsia="Symbola"/>
          <w:spacing w:val="-1"/>
          <w:w w:val="124"/>
          <w:sz w:val="36"/>
        </w:rPr>
        <w:t>(</w:t>
      </w:r>
      <w:r>
        <w:rPr>
          <w:rFonts w:ascii="Symbola" w:hAnsi="Symbola" w:eastAsia="Symbola"/>
          <w:spacing w:val="-1"/>
          <w:w w:val="110"/>
          <w:sz w:val="36"/>
        </w:rPr>
        <w:t>𝐒</w:t>
      </w:r>
      <w:r>
        <w:rPr>
          <w:rFonts w:ascii="Symbola" w:hAnsi="Symbola" w:eastAsia="Symbola"/>
          <w:w w:val="110"/>
          <w:sz w:val="36"/>
        </w:rPr>
        <w:t>𝐃</w:t>
      </w:r>
      <w:r>
        <w:rPr>
          <w:rFonts w:ascii="Symbola" w:hAnsi="Symbola" w:eastAsia="Symbola"/>
          <w:w w:val="93"/>
          <w:sz w:val="36"/>
        </w:rPr>
        <w:t>𝐒</w:t>
      </w:r>
      <w:r>
        <w:rPr>
          <w:rFonts w:ascii="Symbola" w:hAnsi="Symbola" w:eastAsia="Symbola"/>
          <w:spacing w:val="-10"/>
          <w:sz w:val="36"/>
        </w:rPr>
        <w:t> </w:t>
      </w:r>
      <w:r>
        <w:rPr>
          <w:rFonts w:ascii="Symbola" w:hAnsi="Symbola" w:eastAsia="Symbola"/>
          <w:w w:val="96"/>
          <w:sz w:val="36"/>
        </w:rPr>
        <w:t>−</w:t>
      </w:r>
      <w:r>
        <w:rPr>
          <w:rFonts w:ascii="Symbola" w:hAnsi="Symbola" w:eastAsia="Symbola"/>
          <w:spacing w:val="-11"/>
          <w:sz w:val="36"/>
        </w:rPr>
        <w:t> </w:t>
      </w:r>
      <w:r>
        <w:rPr>
          <w:rFonts w:ascii="Symbola" w:hAnsi="Symbola" w:eastAsia="Symbola"/>
          <w:spacing w:val="-1"/>
          <w:w w:val="111"/>
          <w:sz w:val="36"/>
        </w:rPr>
        <w:t>𝐏</w:t>
      </w:r>
      <w:r>
        <w:rPr>
          <w:rFonts w:ascii="Symbola" w:hAnsi="Symbola" w:eastAsia="Symbola"/>
          <w:w w:val="120"/>
          <w:sz w:val="36"/>
        </w:rPr>
        <w:t>𝐀</w:t>
      </w:r>
      <w:r>
        <w:rPr>
          <w:rFonts w:ascii="Symbola" w:hAnsi="Symbola" w:eastAsia="Symbola"/>
          <w:spacing w:val="-1"/>
          <w:w w:val="117"/>
          <w:sz w:val="36"/>
        </w:rPr>
        <w:t>𝐆</w:t>
      </w:r>
      <w:r>
        <w:rPr>
          <w:rFonts w:ascii="Symbola" w:hAnsi="Symbola" w:eastAsia="Symbola"/>
          <w:w w:val="105"/>
          <w:sz w:val="36"/>
        </w:rPr>
        <w:t>𝐄</w:t>
      </w:r>
      <w:r>
        <w:rPr>
          <w:rFonts w:ascii="Symbola" w:hAnsi="Symbola" w:eastAsia="Symbola"/>
          <w:w w:val="124"/>
          <w:sz w:val="36"/>
        </w:rPr>
        <w:t>)</w:t>
      </w:r>
    </w:p>
    <w:p>
      <w:pPr>
        <w:pStyle w:val="BodyText"/>
        <w:spacing w:before="2"/>
        <w:rPr>
          <w:rFonts w:ascii="Symbola"/>
          <w:sz w:val="17"/>
        </w:rPr>
      </w:pPr>
    </w:p>
    <w:p>
      <w:pPr>
        <w:pStyle w:val="BodyText"/>
        <w:spacing w:line="360" w:lineRule="auto" w:before="90"/>
        <w:ind w:left="299" w:right="315"/>
        <w:jc w:val="both"/>
      </w:pPr>
      <w:r>
        <w:rPr>
          <w:b/>
        </w:rPr>
        <w:t>Studying protein folding/unfolding-</w:t>
      </w:r>
      <w:r>
        <w:rPr/>
        <w:t>The urea disrupts electrostatic and hydrophobic interaction between amino acid residues of protein to induce unfolding of the 3-D conformation of the protein. </w:t>
      </w:r>
      <w:r>
        <w:rPr>
          <w:spacing w:val="-3"/>
        </w:rPr>
        <w:t>It </w:t>
      </w:r>
      <w:r>
        <w:rPr/>
        <w:t>has been extensively used to study the protein unfolding and to identify different structural intermediates in the folding pathways. In a typical unfolding experiment, protein is exposed to the different concentration of urea and then the structural changes in protein can be monitored by the spectroscopic or gel filitration techniques. Unfolding of protein causes an increase in the hydrodynamic volume of the protein and it results in slower mobility in polyacryalmide gels. In the urea PAGE, a polyacrylamide gel is prepared with a horizontal gradient of urea (0-8M). The same protein sample is loaded in different lanes and it is allowed to run vertically, perpendicular to the urea gradient. As sample runs in different lanes, it gets exposed to different concentration of urea and consequently at a particular urea concentration the protein is unfolded with an increase in hydrodynamic volume. The unfolded protein sample will migrate slower due to increase in friction forces and it gives a unique protein band pattern to provide qualitative or semi-quantitative information about the protein folding intermediates (Figure 23.2). The information from the gradient urea PAGE needs further verification from other analytical techniques. In addition to protein folding, urea PAGE can also be used to analyze the protein complexes as well as covalent heterogenecity of the</w:t>
      </w:r>
      <w:r>
        <w:rPr>
          <w:spacing w:val="-7"/>
        </w:rPr>
        <w:t> </w:t>
      </w:r>
      <w:r>
        <w:rPr/>
        <w:t>protein.</w:t>
      </w:r>
    </w:p>
    <w:p>
      <w:pPr>
        <w:spacing w:after="0" w:line="360" w:lineRule="auto"/>
        <w:jc w:val="both"/>
        <w:sectPr>
          <w:pgSz w:w="11910" w:h="16840"/>
          <w:pgMar w:header="722" w:footer="748" w:top="1300" w:bottom="940" w:left="1500" w:right="148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9"/>
        </w:rPr>
      </w:pPr>
    </w:p>
    <w:p>
      <w:pPr>
        <w:pStyle w:val="BodyText"/>
        <w:ind w:left="300"/>
        <w:rPr>
          <w:sz w:val="20"/>
        </w:rPr>
      </w:pPr>
      <w:r>
        <w:rPr>
          <w:sz w:val="20"/>
        </w:rPr>
        <w:drawing>
          <wp:inline distT="0" distB="0" distL="0" distR="0">
            <wp:extent cx="5327014" cy="2926079"/>
            <wp:effectExtent l="0" t="0" r="0" b="0"/>
            <wp:docPr id="271" name="image140.png"/>
            <wp:cNvGraphicFramePr>
              <a:graphicFrameLocks noChangeAspect="1"/>
            </wp:cNvGraphicFramePr>
            <a:graphic>
              <a:graphicData uri="http://schemas.openxmlformats.org/drawingml/2006/picture">
                <pic:pic>
                  <pic:nvPicPr>
                    <pic:cNvPr id="272" name="image140.png"/>
                    <pic:cNvPicPr/>
                  </pic:nvPicPr>
                  <pic:blipFill>
                    <a:blip r:embed="rId152" cstate="print"/>
                    <a:stretch>
                      <a:fillRect/>
                    </a:stretch>
                  </pic:blipFill>
                  <pic:spPr>
                    <a:xfrm>
                      <a:off x="0" y="0"/>
                      <a:ext cx="5327014" cy="2926079"/>
                    </a:xfrm>
                    <a:prstGeom prst="rect">
                      <a:avLst/>
                    </a:prstGeom>
                  </pic:spPr>
                </pic:pic>
              </a:graphicData>
            </a:graphic>
          </wp:inline>
        </w:drawing>
      </w:r>
      <w:r>
        <w:rPr>
          <w:sz w:val="20"/>
        </w:rPr>
      </w:r>
    </w:p>
    <w:p>
      <w:pPr>
        <w:pStyle w:val="BodyText"/>
        <w:rPr>
          <w:sz w:val="20"/>
        </w:rPr>
      </w:pPr>
    </w:p>
    <w:p>
      <w:pPr>
        <w:pStyle w:val="BodyText"/>
        <w:spacing w:before="5"/>
        <w:rPr>
          <w:sz w:val="19"/>
        </w:rPr>
      </w:pPr>
    </w:p>
    <w:p>
      <w:pPr>
        <w:spacing w:before="0"/>
        <w:ind w:left="601" w:right="617" w:firstLine="0"/>
        <w:jc w:val="center"/>
        <w:rPr>
          <w:b/>
          <w:sz w:val="16"/>
        </w:rPr>
      </w:pPr>
      <w:r>
        <w:rPr>
          <w:b/>
          <w:sz w:val="16"/>
        </w:rPr>
        <w:t>Figure 23.2: Use of SDS-PAGE to study protein folding-unfolding.</w:t>
      </w:r>
    </w:p>
    <w:p>
      <w:pPr>
        <w:pStyle w:val="BodyText"/>
        <w:spacing w:line="360" w:lineRule="auto" w:before="118"/>
        <w:ind w:left="300" w:right="313"/>
        <w:jc w:val="both"/>
      </w:pPr>
      <w:r>
        <w:rPr>
          <w:b/>
        </w:rPr>
        <w:t>Purification of the antigen-</w:t>
      </w:r>
      <w:r>
        <w:rPr/>
        <w:t>Preparative SDS-PAGE is routinely been used to purify the protein (antigen) to generate antibody (Figure 23.3). Protein of interest is produced in large quantity in the bacteria or other suitable expression system. Afterwards, the crude bacterial lysate is resolved on a midi or maxi gel containing a fused lane to load large amount (~2-3ml) of the lysate. A single lane of the gel can be analyzed either by staining or with western blotting to identify the position of the protein in the gel. The gel portion containing the desired protein is cut and the protein is electroeluted from the gel. The protein is lyophilized and used for immunization of the animal such as mouse or</w:t>
      </w:r>
      <w:r>
        <w:rPr>
          <w:spacing w:val="-2"/>
        </w:rPr>
        <w:t> </w:t>
      </w:r>
      <w:r>
        <w:rPr/>
        <w:t>rabbit.</w:t>
      </w:r>
    </w:p>
    <w:p>
      <w:pPr>
        <w:pStyle w:val="BodyText"/>
        <w:spacing w:line="360" w:lineRule="auto" w:before="201"/>
        <w:ind w:left="300" w:right="316"/>
        <w:jc w:val="both"/>
      </w:pPr>
      <w:r>
        <w:rPr>
          <w:b/>
        </w:rPr>
        <w:t>Protein-protein interaction-</w:t>
      </w:r>
      <w:r>
        <w:rPr/>
        <w:t>There are two approaches in which vertical gel electrophoresis can be used to study the protein-protein interaction. </w:t>
      </w:r>
      <w:r>
        <w:rPr>
          <w:b/>
        </w:rPr>
        <w:t>In approach I</w:t>
      </w:r>
      <w:r>
        <w:rPr/>
        <w:t>, protein A and B is incubated in an invitro reaction to form the complex AB. Now the formation of complex AB can be analyzed on a native PAGE (Figure 23.4). As shown in figure 23.4, once the complex is formed there will be a shift of the band position in comparison to the individual protein bands. </w:t>
      </w:r>
      <w:r>
        <w:rPr>
          <w:b/>
        </w:rPr>
        <w:t>In approach 2</w:t>
      </w:r>
      <w:r>
        <w:rPr/>
        <w:t>, the protein A is resolved on the SDS-PAGE and transferred on the nitrocellulose membrane. The membrane is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8"/>
        <w:jc w:val="both"/>
      </w:pPr>
      <w:r>
        <w:rPr/>
        <w:t>blocked with the 1% BSA over-night at 4</w:t>
      </w:r>
      <w:r>
        <w:rPr>
          <w:vertAlign w:val="superscript"/>
        </w:rPr>
        <w:t>0</w:t>
      </w:r>
      <w:r>
        <w:rPr>
          <w:vertAlign w:val="baseline"/>
        </w:rPr>
        <w:t>C. Nitrocellulose membrane is incubated with the protein B over-night at 4</w:t>
      </w:r>
      <w:r>
        <w:rPr>
          <w:vertAlign w:val="superscript"/>
        </w:rPr>
        <w:t>0</w:t>
      </w:r>
      <w:r>
        <w:rPr>
          <w:vertAlign w:val="baseline"/>
        </w:rPr>
        <w:t>C. Membrane is washed with the buffer and probed</w:t>
      </w:r>
    </w:p>
    <w:p>
      <w:pPr>
        <w:pStyle w:val="BodyText"/>
        <w:spacing w:before="6"/>
        <w:rPr>
          <w:sz w:val="14"/>
        </w:rPr>
      </w:pPr>
      <w:r>
        <w:rPr/>
        <w:drawing>
          <wp:anchor distT="0" distB="0" distL="0" distR="0" allowOverlap="1" layoutInCell="1" locked="0" behindDoc="0" simplePos="0" relativeHeight="289">
            <wp:simplePos x="0" y="0"/>
            <wp:positionH relativeFrom="page">
              <wp:posOffset>1143330</wp:posOffset>
            </wp:positionH>
            <wp:positionV relativeFrom="paragraph">
              <wp:posOffset>131293</wp:posOffset>
            </wp:positionV>
            <wp:extent cx="5202564" cy="2206752"/>
            <wp:effectExtent l="0" t="0" r="0" b="0"/>
            <wp:wrapTopAndBottom/>
            <wp:docPr id="273" name="image141.png"/>
            <wp:cNvGraphicFramePr>
              <a:graphicFrameLocks noChangeAspect="1"/>
            </wp:cNvGraphicFramePr>
            <a:graphic>
              <a:graphicData uri="http://schemas.openxmlformats.org/drawingml/2006/picture">
                <pic:pic>
                  <pic:nvPicPr>
                    <pic:cNvPr id="274" name="image141.png"/>
                    <pic:cNvPicPr/>
                  </pic:nvPicPr>
                  <pic:blipFill>
                    <a:blip r:embed="rId153" cstate="print"/>
                    <a:stretch>
                      <a:fillRect/>
                    </a:stretch>
                  </pic:blipFill>
                  <pic:spPr>
                    <a:xfrm>
                      <a:off x="0" y="0"/>
                      <a:ext cx="5202564" cy="2206752"/>
                    </a:xfrm>
                    <a:prstGeom prst="rect">
                      <a:avLst/>
                    </a:prstGeom>
                  </pic:spPr>
                </pic:pic>
              </a:graphicData>
            </a:graphic>
          </wp:anchor>
        </w:drawing>
      </w:r>
    </w:p>
    <w:p>
      <w:pPr>
        <w:pStyle w:val="BodyText"/>
        <w:spacing w:before="1"/>
        <w:rPr>
          <w:sz w:val="26"/>
        </w:rPr>
      </w:pPr>
    </w:p>
    <w:p>
      <w:pPr>
        <w:spacing w:before="0"/>
        <w:ind w:left="599" w:right="617" w:firstLine="0"/>
        <w:jc w:val="center"/>
        <w:rPr>
          <w:b/>
          <w:sz w:val="16"/>
        </w:rPr>
      </w:pPr>
      <w:r>
        <w:rPr>
          <w:b/>
          <w:sz w:val="16"/>
        </w:rPr>
        <w:t>Figure 23.3: Purification of antigen</w:t>
      </w:r>
    </w:p>
    <w:p>
      <w:pPr>
        <w:pStyle w:val="BodyText"/>
        <w:spacing w:before="5"/>
        <w:rPr>
          <w:b/>
          <w:sz w:val="19"/>
        </w:rPr>
      </w:pPr>
    </w:p>
    <w:p>
      <w:pPr>
        <w:pStyle w:val="BodyText"/>
        <w:spacing w:line="360" w:lineRule="auto"/>
        <w:ind w:left="300" w:right="318"/>
        <w:jc w:val="both"/>
      </w:pPr>
      <w:r>
        <w:rPr/>
        <w:t>with the anti-B antibody followed by HRP cupled secondary antibody (antiIgG-HRP). Blot is developed by the di-amino benzidine (DAB).</w:t>
      </w:r>
    </w:p>
    <w:p>
      <w:pPr>
        <w:pStyle w:val="BodyText"/>
        <w:spacing w:before="6"/>
        <w:rPr>
          <w:sz w:val="14"/>
        </w:rPr>
      </w:pPr>
      <w:r>
        <w:rPr/>
        <w:drawing>
          <wp:anchor distT="0" distB="0" distL="0" distR="0" allowOverlap="1" layoutInCell="1" locked="0" behindDoc="0" simplePos="0" relativeHeight="290">
            <wp:simplePos x="0" y="0"/>
            <wp:positionH relativeFrom="page">
              <wp:posOffset>1143342</wp:posOffset>
            </wp:positionH>
            <wp:positionV relativeFrom="paragraph">
              <wp:posOffset>130816</wp:posOffset>
            </wp:positionV>
            <wp:extent cx="5343468" cy="3145536"/>
            <wp:effectExtent l="0" t="0" r="0" b="0"/>
            <wp:wrapTopAndBottom/>
            <wp:docPr id="275" name="image142.png"/>
            <wp:cNvGraphicFramePr>
              <a:graphicFrameLocks noChangeAspect="1"/>
            </wp:cNvGraphicFramePr>
            <a:graphic>
              <a:graphicData uri="http://schemas.openxmlformats.org/drawingml/2006/picture">
                <pic:pic>
                  <pic:nvPicPr>
                    <pic:cNvPr id="276" name="image142.png"/>
                    <pic:cNvPicPr/>
                  </pic:nvPicPr>
                  <pic:blipFill>
                    <a:blip r:embed="rId154" cstate="print"/>
                    <a:stretch>
                      <a:fillRect/>
                    </a:stretch>
                  </pic:blipFill>
                  <pic:spPr>
                    <a:xfrm>
                      <a:off x="0" y="0"/>
                      <a:ext cx="5343468" cy="3145536"/>
                    </a:xfrm>
                    <a:prstGeom prst="rect">
                      <a:avLst/>
                    </a:prstGeom>
                  </pic:spPr>
                </pic:pic>
              </a:graphicData>
            </a:graphic>
          </wp:anchor>
        </w:drawing>
      </w:r>
    </w:p>
    <w:p>
      <w:pPr>
        <w:pStyle w:val="BodyText"/>
        <w:spacing w:before="2"/>
        <w:rPr>
          <w:sz w:val="26"/>
        </w:rPr>
      </w:pPr>
    </w:p>
    <w:p>
      <w:pPr>
        <w:spacing w:before="0"/>
        <w:ind w:left="599" w:right="617" w:firstLine="0"/>
        <w:jc w:val="center"/>
        <w:rPr>
          <w:b/>
          <w:sz w:val="16"/>
        </w:rPr>
      </w:pPr>
      <w:r>
        <w:rPr>
          <w:b/>
          <w:sz w:val="16"/>
        </w:rPr>
        <w:t>Figure 23.4: Study of the protein-protein interaction.</w:t>
      </w:r>
    </w:p>
    <w:p>
      <w:pPr>
        <w:pStyle w:val="BodyText"/>
        <w:spacing w:before="3"/>
        <w:rPr>
          <w:b/>
          <w:sz w:val="19"/>
        </w:rPr>
      </w:pPr>
    </w:p>
    <w:p>
      <w:pPr>
        <w:pStyle w:val="BodyText"/>
        <w:spacing w:line="360" w:lineRule="auto"/>
        <w:ind w:left="299" w:right="315"/>
        <w:jc w:val="both"/>
      </w:pPr>
      <w:r>
        <w:rPr>
          <w:b/>
        </w:rPr>
        <w:t>Detection of glycoprotein and phosphoprotein- </w:t>
      </w:r>
      <w:r>
        <w:rPr/>
        <w:t>Protein sample resolved on SDS- PAGE is stained with the different reagents to specifically detect glycoprotein and phosphoprotein. Periodic acid Schiff (PAS) reagent specifically stain the  glycoprotein. Where as phosphorylated protein can be detected by labeling with 32P followed by the</w:t>
      </w:r>
      <w:r>
        <w:rPr>
          <w:spacing w:val="-7"/>
        </w:rPr>
        <w:t> </w:t>
      </w:r>
      <w:r>
        <w:rPr/>
        <w:t>autoradiography.</w:t>
      </w:r>
    </w:p>
    <w:p>
      <w:pPr>
        <w:spacing w:after="0" w:line="360" w:lineRule="auto"/>
        <w:jc w:val="both"/>
        <w:sectPr>
          <w:pgSz w:w="11910" w:h="16840"/>
          <w:pgMar w:header="722" w:footer="748" w:top="1300" w:bottom="940" w:left="1500" w:right="1480"/>
        </w:sectPr>
      </w:pPr>
    </w:p>
    <w:p>
      <w:pPr>
        <w:pStyle w:val="Heading2"/>
      </w:pPr>
      <w:r>
        <w:rPr/>
        <w:t>Lecture 24 Horizontal Gel Electrophoresis (Part-I)</w:t>
      </w:r>
    </w:p>
    <w:p>
      <w:pPr>
        <w:pStyle w:val="BodyText"/>
        <w:spacing w:line="360" w:lineRule="auto" w:before="251"/>
        <w:ind w:left="300" w:right="315"/>
        <w:jc w:val="both"/>
      </w:pPr>
      <w:r>
        <w:rPr>
          <w:b/>
        </w:rPr>
        <w:t>Horizontal gel electrophoresis- </w:t>
      </w:r>
      <w:r>
        <w:rPr/>
        <w:t>The electrophoresis in this gel system is performed in a continuous fashion with both electrodes and gel cassette submersed within the buffer. The schematic diagram of a vertical gel electrophoresis apparatus is given in Figure 24.1. The electrophoresis chamber has two platinum electrodes placed on the both ends are connected to the external power supply from a power pack which supplies a direct current or DC voltage. The tank filled with the running buffer and the gel casted is submerged inside the buffer. There are additional accessories needed for casting the agarose gel such as comb (to prepare different well), spacer, gel caster</w:t>
      </w:r>
      <w:r>
        <w:rPr>
          <w:spacing w:val="-18"/>
        </w:rPr>
        <w:t> </w:t>
      </w:r>
      <w:r>
        <w:rPr/>
        <w:t>etc.</w:t>
      </w:r>
    </w:p>
    <w:p>
      <w:pPr>
        <w:pStyle w:val="BodyText"/>
        <w:spacing w:before="5"/>
        <w:rPr>
          <w:sz w:val="14"/>
        </w:rPr>
      </w:pPr>
      <w:r>
        <w:rPr/>
        <w:drawing>
          <wp:anchor distT="0" distB="0" distL="0" distR="0" allowOverlap="1" layoutInCell="1" locked="0" behindDoc="0" simplePos="0" relativeHeight="291">
            <wp:simplePos x="0" y="0"/>
            <wp:positionH relativeFrom="page">
              <wp:posOffset>1508544</wp:posOffset>
            </wp:positionH>
            <wp:positionV relativeFrom="paragraph">
              <wp:posOffset>130761</wp:posOffset>
            </wp:positionV>
            <wp:extent cx="4551699" cy="2145792"/>
            <wp:effectExtent l="0" t="0" r="0" b="0"/>
            <wp:wrapTopAndBottom/>
            <wp:docPr id="277" name="image143.png"/>
            <wp:cNvGraphicFramePr>
              <a:graphicFrameLocks noChangeAspect="1"/>
            </wp:cNvGraphicFramePr>
            <a:graphic>
              <a:graphicData uri="http://schemas.openxmlformats.org/drawingml/2006/picture">
                <pic:pic>
                  <pic:nvPicPr>
                    <pic:cNvPr id="278" name="image143.png"/>
                    <pic:cNvPicPr/>
                  </pic:nvPicPr>
                  <pic:blipFill>
                    <a:blip r:embed="rId155" cstate="print"/>
                    <a:stretch>
                      <a:fillRect/>
                    </a:stretch>
                  </pic:blipFill>
                  <pic:spPr>
                    <a:xfrm>
                      <a:off x="0" y="0"/>
                      <a:ext cx="4551699" cy="2145792"/>
                    </a:xfrm>
                    <a:prstGeom prst="rect">
                      <a:avLst/>
                    </a:prstGeom>
                  </pic:spPr>
                </pic:pic>
              </a:graphicData>
            </a:graphic>
          </wp:anchor>
        </w:drawing>
      </w:r>
    </w:p>
    <w:p>
      <w:pPr>
        <w:pStyle w:val="BodyText"/>
        <w:spacing w:before="4"/>
        <w:rPr>
          <w:sz w:val="26"/>
        </w:rPr>
      </w:pPr>
    </w:p>
    <w:p>
      <w:pPr>
        <w:spacing w:before="1"/>
        <w:ind w:left="601" w:right="617" w:firstLine="0"/>
        <w:jc w:val="center"/>
        <w:rPr>
          <w:b/>
          <w:sz w:val="16"/>
        </w:rPr>
      </w:pPr>
      <w:r>
        <w:rPr>
          <w:b/>
          <w:sz w:val="16"/>
        </w:rPr>
        <w:t>Figure 24.1: Different components of horizontal gel electrophoresis apparatus.</w:t>
      </w:r>
    </w:p>
    <w:p>
      <w:pPr>
        <w:pStyle w:val="BodyText"/>
        <w:rPr>
          <w:b/>
          <w:sz w:val="18"/>
        </w:rPr>
      </w:pPr>
    </w:p>
    <w:p>
      <w:pPr>
        <w:pStyle w:val="BodyText"/>
        <w:rPr>
          <w:b/>
          <w:sz w:val="18"/>
        </w:rPr>
      </w:pPr>
    </w:p>
    <w:p>
      <w:pPr>
        <w:pStyle w:val="BodyText"/>
        <w:rPr>
          <w:b/>
          <w:sz w:val="18"/>
        </w:rPr>
      </w:pPr>
    </w:p>
    <w:p>
      <w:pPr>
        <w:pStyle w:val="BodyText"/>
        <w:spacing w:before="2"/>
        <w:rPr>
          <w:b/>
          <w:sz w:val="22"/>
        </w:rPr>
      </w:pPr>
    </w:p>
    <w:p>
      <w:pPr>
        <w:spacing w:line="360" w:lineRule="auto" w:before="0"/>
        <w:ind w:left="299" w:right="315" w:firstLine="0"/>
        <w:jc w:val="both"/>
        <w:rPr>
          <w:sz w:val="24"/>
        </w:rPr>
      </w:pPr>
      <w:r>
        <w:rPr>
          <w:b/>
          <w:sz w:val="24"/>
        </w:rPr>
        <w:t>Buffer and reagent for electrophoresis- </w:t>
      </w:r>
      <w:r>
        <w:rPr>
          <w:sz w:val="24"/>
        </w:rPr>
        <w:t>The purpose of each reagents used in horizontal gel electrophoresis are as follows-</w:t>
      </w:r>
    </w:p>
    <w:p>
      <w:pPr>
        <w:pStyle w:val="ListParagraph"/>
        <w:numPr>
          <w:ilvl w:val="0"/>
          <w:numId w:val="24"/>
        </w:numPr>
        <w:tabs>
          <w:tab w:pos="540" w:val="left" w:leader="none"/>
        </w:tabs>
        <w:spacing w:line="274" w:lineRule="exact" w:before="0" w:after="0"/>
        <w:ind w:left="540" w:right="0" w:hanging="241"/>
        <w:jc w:val="left"/>
        <w:rPr>
          <w:sz w:val="24"/>
        </w:rPr>
      </w:pPr>
      <w:r>
        <w:rPr>
          <w:b/>
          <w:sz w:val="24"/>
        </w:rPr>
        <w:t>Agarose-</w:t>
      </w:r>
      <w:r>
        <w:rPr>
          <w:sz w:val="24"/>
        </w:rPr>
        <w:t>polymeric sugar used to prepare horizontal gel for DNA</w:t>
      </w:r>
      <w:r>
        <w:rPr>
          <w:spacing w:val="-7"/>
          <w:sz w:val="24"/>
        </w:rPr>
        <w:t> </w:t>
      </w:r>
      <w:r>
        <w:rPr>
          <w:sz w:val="24"/>
        </w:rPr>
        <w:t>analysis.</w:t>
      </w:r>
    </w:p>
    <w:p>
      <w:pPr>
        <w:pStyle w:val="BodyText"/>
        <w:spacing w:before="5"/>
        <w:rPr>
          <w:sz w:val="29"/>
        </w:rPr>
      </w:pPr>
    </w:p>
    <w:p>
      <w:pPr>
        <w:pStyle w:val="ListParagraph"/>
        <w:numPr>
          <w:ilvl w:val="0"/>
          <w:numId w:val="24"/>
        </w:numPr>
        <w:tabs>
          <w:tab w:pos="540" w:val="left" w:leader="none"/>
        </w:tabs>
        <w:spacing w:line="240" w:lineRule="auto" w:before="0" w:after="0"/>
        <w:ind w:left="540" w:right="0" w:hanging="241"/>
        <w:jc w:val="left"/>
        <w:rPr>
          <w:sz w:val="24"/>
        </w:rPr>
      </w:pPr>
      <w:r>
        <w:rPr>
          <w:b/>
          <w:sz w:val="24"/>
        </w:rPr>
        <w:t>Ethidium bromide- </w:t>
      </w:r>
      <w:r>
        <w:rPr>
          <w:sz w:val="24"/>
        </w:rPr>
        <w:t>for staining of the agarose gel to visualize the</w:t>
      </w:r>
      <w:r>
        <w:rPr>
          <w:spacing w:val="-15"/>
          <w:sz w:val="24"/>
        </w:rPr>
        <w:t> </w:t>
      </w:r>
      <w:r>
        <w:rPr>
          <w:sz w:val="24"/>
        </w:rPr>
        <w:t>DNA.</w:t>
      </w:r>
    </w:p>
    <w:p>
      <w:pPr>
        <w:pStyle w:val="BodyText"/>
        <w:spacing w:before="5"/>
        <w:rPr>
          <w:sz w:val="29"/>
        </w:rPr>
      </w:pPr>
    </w:p>
    <w:p>
      <w:pPr>
        <w:pStyle w:val="ListParagraph"/>
        <w:numPr>
          <w:ilvl w:val="0"/>
          <w:numId w:val="24"/>
        </w:numPr>
        <w:tabs>
          <w:tab w:pos="540" w:val="left" w:leader="none"/>
        </w:tabs>
        <w:spacing w:line="240" w:lineRule="auto" w:before="0" w:after="0"/>
        <w:ind w:left="540" w:right="0" w:hanging="241"/>
        <w:jc w:val="left"/>
        <w:rPr>
          <w:sz w:val="24"/>
        </w:rPr>
      </w:pPr>
      <w:r>
        <w:rPr>
          <w:b/>
          <w:sz w:val="24"/>
        </w:rPr>
        <w:t>Sucrose-</w:t>
      </w:r>
      <w:r>
        <w:rPr>
          <w:sz w:val="24"/>
        </w:rPr>
        <w:t>For preparation of loading dye for horizontal</w:t>
      </w:r>
      <w:r>
        <w:rPr>
          <w:spacing w:val="-7"/>
          <w:sz w:val="24"/>
        </w:rPr>
        <w:t> </w:t>
      </w:r>
      <w:r>
        <w:rPr>
          <w:sz w:val="24"/>
        </w:rPr>
        <w:t>gel.</w:t>
      </w:r>
    </w:p>
    <w:p>
      <w:pPr>
        <w:pStyle w:val="BodyText"/>
        <w:spacing w:before="5"/>
        <w:rPr>
          <w:sz w:val="29"/>
        </w:rPr>
      </w:pPr>
    </w:p>
    <w:p>
      <w:pPr>
        <w:pStyle w:val="ListParagraph"/>
        <w:numPr>
          <w:ilvl w:val="0"/>
          <w:numId w:val="24"/>
        </w:numPr>
        <w:tabs>
          <w:tab w:pos="540" w:val="left" w:leader="none"/>
        </w:tabs>
        <w:spacing w:line="240" w:lineRule="auto" w:before="0" w:after="0"/>
        <w:ind w:left="540" w:right="0" w:hanging="241"/>
        <w:jc w:val="left"/>
        <w:rPr>
          <w:sz w:val="24"/>
        </w:rPr>
      </w:pPr>
      <w:r>
        <w:rPr>
          <w:b/>
          <w:sz w:val="24"/>
        </w:rPr>
        <w:t>Tris-HCl- </w:t>
      </w:r>
      <w:r>
        <w:rPr>
          <w:sz w:val="24"/>
        </w:rPr>
        <w:t>The component of the running</w:t>
      </w:r>
      <w:r>
        <w:rPr>
          <w:spacing w:val="-8"/>
          <w:sz w:val="24"/>
        </w:rPr>
        <w:t> </w:t>
      </w:r>
      <w:r>
        <w:rPr>
          <w:sz w:val="24"/>
        </w:rPr>
        <w:t>buffer.</w:t>
      </w:r>
    </w:p>
    <w:p>
      <w:pPr>
        <w:pStyle w:val="BodyText"/>
        <w:spacing w:before="5"/>
        <w:rPr>
          <w:sz w:val="29"/>
        </w:rPr>
      </w:pPr>
    </w:p>
    <w:p>
      <w:pPr>
        <w:pStyle w:val="ListParagraph"/>
        <w:numPr>
          <w:ilvl w:val="0"/>
          <w:numId w:val="24"/>
        </w:numPr>
        <w:tabs>
          <w:tab w:pos="540" w:val="left" w:leader="none"/>
        </w:tabs>
        <w:spacing w:line="240" w:lineRule="auto" w:before="0" w:after="0"/>
        <w:ind w:left="540" w:right="0" w:hanging="241"/>
        <w:jc w:val="left"/>
        <w:rPr>
          <w:sz w:val="24"/>
        </w:rPr>
      </w:pPr>
      <w:r>
        <w:rPr>
          <w:b/>
          <w:sz w:val="24"/>
        </w:rPr>
        <w:t>Bromophenol blue-</w:t>
      </w:r>
      <w:r>
        <w:rPr>
          <w:sz w:val="24"/>
        </w:rPr>
        <w:t>Tracking dye to monitor the progress of the</w:t>
      </w:r>
      <w:r>
        <w:rPr>
          <w:spacing w:val="-14"/>
          <w:sz w:val="24"/>
        </w:rPr>
        <w:t> </w:t>
      </w:r>
      <w:r>
        <w:rPr>
          <w:sz w:val="24"/>
        </w:rPr>
        <w:t>electrophoresis.</w:t>
      </w:r>
    </w:p>
    <w:p>
      <w:pPr>
        <w:spacing w:after="0" w:line="240" w:lineRule="auto"/>
        <w:jc w:val="left"/>
        <w:rPr>
          <w:sz w:val="24"/>
        </w:rPr>
        <w:sectPr>
          <w:pgSz w:w="11910" w:h="16840"/>
          <w:pgMar w:header="722" w:footer="748" w:top="1300" w:bottom="940" w:left="1500" w:right="1480"/>
        </w:sectPr>
      </w:pPr>
    </w:p>
    <w:p>
      <w:pPr>
        <w:pStyle w:val="BodyText"/>
        <w:spacing w:line="360" w:lineRule="auto" w:before="119"/>
        <w:ind w:left="299" w:right="315"/>
        <w:jc w:val="both"/>
      </w:pPr>
      <w:r>
        <w:rPr>
          <w:b/>
        </w:rPr>
        <w:t>Casting of the agarose gel- </w:t>
      </w:r>
      <w:r>
        <w:rPr/>
        <w:t>Different steps to cast the agarose gel for horizontal gel electrophoresis are given in Figure 24.2. The agarose powder is dissolved in a buffer (TAE or TBE) and heated to melt the agarose. Hot agarose is poured into the gel cassette and allowed it to set. A comb can be inserted into the hot agarose to cast the well for loading the sample. </w:t>
      </w:r>
      <w:r>
        <w:rPr>
          <w:spacing w:val="-3"/>
        </w:rPr>
        <w:t>In </w:t>
      </w:r>
      <w:r>
        <w:rPr/>
        <w:t>few cases, we can add ethidium bromide within  the gel so that it stains the DNA while</w:t>
      </w:r>
      <w:r>
        <w:rPr>
          <w:spacing w:val="-5"/>
        </w:rPr>
        <w:t> </w:t>
      </w:r>
      <w:r>
        <w:rPr/>
        <w:t>electrophoresis.</w:t>
      </w:r>
    </w:p>
    <w:p>
      <w:pPr>
        <w:pStyle w:val="BodyText"/>
        <w:rPr>
          <w:sz w:val="20"/>
        </w:rPr>
      </w:pPr>
    </w:p>
    <w:p>
      <w:pPr>
        <w:pStyle w:val="BodyText"/>
        <w:rPr>
          <w:sz w:val="20"/>
        </w:rPr>
      </w:pPr>
    </w:p>
    <w:p>
      <w:pPr>
        <w:pStyle w:val="BodyText"/>
        <w:spacing w:before="11"/>
        <w:rPr>
          <w:sz w:val="27"/>
        </w:rPr>
      </w:pPr>
      <w:r>
        <w:rPr/>
        <w:drawing>
          <wp:anchor distT="0" distB="0" distL="0" distR="0" allowOverlap="1" layoutInCell="1" locked="0" behindDoc="0" simplePos="0" relativeHeight="292">
            <wp:simplePos x="0" y="0"/>
            <wp:positionH relativeFrom="page">
              <wp:posOffset>1304467</wp:posOffset>
            </wp:positionH>
            <wp:positionV relativeFrom="paragraph">
              <wp:posOffset>229095</wp:posOffset>
            </wp:positionV>
            <wp:extent cx="4952154" cy="2316479"/>
            <wp:effectExtent l="0" t="0" r="0" b="0"/>
            <wp:wrapTopAndBottom/>
            <wp:docPr id="279" name="image144.png"/>
            <wp:cNvGraphicFramePr>
              <a:graphicFrameLocks noChangeAspect="1"/>
            </wp:cNvGraphicFramePr>
            <a:graphic>
              <a:graphicData uri="http://schemas.openxmlformats.org/drawingml/2006/picture">
                <pic:pic>
                  <pic:nvPicPr>
                    <pic:cNvPr id="280" name="image144.png"/>
                    <pic:cNvPicPr/>
                  </pic:nvPicPr>
                  <pic:blipFill>
                    <a:blip r:embed="rId156" cstate="print"/>
                    <a:stretch>
                      <a:fillRect/>
                    </a:stretch>
                  </pic:blipFill>
                  <pic:spPr>
                    <a:xfrm>
                      <a:off x="0" y="0"/>
                      <a:ext cx="4952154" cy="2316479"/>
                    </a:xfrm>
                    <a:prstGeom prst="rect">
                      <a:avLst/>
                    </a:prstGeom>
                  </pic:spPr>
                </pic:pic>
              </a:graphicData>
            </a:graphic>
          </wp:anchor>
        </w:drawing>
      </w:r>
    </w:p>
    <w:p>
      <w:pPr>
        <w:pStyle w:val="BodyText"/>
        <w:spacing w:before="4"/>
        <w:rPr>
          <w:sz w:val="26"/>
        </w:rPr>
      </w:pPr>
    </w:p>
    <w:p>
      <w:pPr>
        <w:spacing w:before="0"/>
        <w:ind w:left="1027" w:right="0" w:firstLine="0"/>
        <w:jc w:val="left"/>
        <w:rPr>
          <w:b/>
          <w:sz w:val="16"/>
        </w:rPr>
      </w:pPr>
      <w:r>
        <w:rPr>
          <w:b/>
          <w:sz w:val="16"/>
        </w:rPr>
        <w:t>Figure 24.2: Different steps in casting of the agarose gel for horizontal gel electrophoresis apparatus.</w:t>
      </w:r>
    </w:p>
    <w:p>
      <w:pPr>
        <w:spacing w:after="0"/>
        <w:jc w:val="left"/>
        <w:rPr>
          <w:sz w:val="16"/>
        </w:rPr>
        <w:sectPr>
          <w:pgSz w:w="11910" w:h="16840"/>
          <w:pgMar w:header="722" w:footer="748" w:top="1300" w:bottom="940" w:left="1500" w:right="1480"/>
        </w:sectPr>
      </w:pPr>
    </w:p>
    <w:p>
      <w:pPr>
        <w:pStyle w:val="BodyText"/>
        <w:spacing w:line="360" w:lineRule="auto" w:before="119"/>
        <w:ind w:left="300" w:right="314"/>
        <w:jc w:val="both"/>
      </w:pPr>
      <w:r>
        <w:rPr>
          <w:b/>
        </w:rPr>
        <w:t>Running and staining-</w:t>
      </w:r>
      <w:r>
        <w:rPr/>
        <w:t>The gel cassette is placed in the electrophoresis tank submerged completely and DNA loaded into the well with the help of pipetman and run with a constant voltage. DNA runs from negative to positive end and ethidium bromide (EtBr) present in the gel stain the DNA. Observing the agarose gel in a UV- chamber shows the DNA stained with EtBr as organe colored fluorescence (Figure 36.3).</w:t>
      </w:r>
    </w:p>
    <w:p>
      <w:pPr>
        <w:pStyle w:val="BodyText"/>
        <w:spacing w:before="10"/>
        <w:rPr>
          <w:sz w:val="15"/>
        </w:rPr>
      </w:pPr>
      <w:r>
        <w:rPr/>
        <w:pict>
          <v:group style="position:absolute;margin-left:126.809395pt;margin-top:11.085462pt;width:.1pt;height:1.55pt;mso-position-horizontal-relative:page;mso-position-vertical-relative:paragraph;z-index:-15578624;mso-wrap-distance-left:0;mso-wrap-distance-right:0" coordorigin="2536,222" coordsize="2,31">
            <v:shape style="position:absolute;left:2536;top:221;width:2;height:31" coordorigin="2536,222" coordsize="0,31" path="m2536,222l2536,252,2536,222xe" filled="true" fillcolor="#4a7ebb" stroked="false">
              <v:path arrowok="t"/>
              <v:fill type="solid"/>
            </v:shape>
            <v:shape style="position:absolute;left:2536;top:236;width:2;height:2" coordorigin="2536,237" coordsize="0,0" path="m2536,237l2536,237,2536,237e" filled="false" stroked="true" strokeweight="1.500729pt" strokecolor="#4a7ebb">
              <v:path arrowok="t"/>
              <v:stroke dashstyle="solid"/>
            </v:shape>
            <v:shape style="position:absolute;left:2536;top:221;width:2;height:31" coordorigin="2536,222" coordsize="0,31" path="m2536,222l2536,252,2536,222xe" filled="true" fillcolor="#4a7ebb" stroked="false">
              <v:path arrowok="t"/>
              <v:fill type="solid"/>
            </v:shape>
            <v:shape style="position:absolute;left:2536;top:236;width:2;height:2" coordorigin="2536,237" coordsize="0,0" path="m2536,237l2536,237,2536,237e" filled="false" stroked="true" strokeweight="1.500729pt" strokecolor="#4a7ebb">
              <v:path arrowok="t"/>
              <v:stroke dashstyle="solid"/>
            </v:shape>
            <v:shape style="position:absolute;left:2536;top:236;width:2;height:2" coordorigin="2536,237" coordsize="0,0" path="m2536,237l2536,237,2536,237e" filled="false" stroked="true" strokeweight=".581660pt" strokecolor="#4a7ebb">
              <v:path arrowok="t"/>
              <v:stroke dashstyle="solid"/>
            </v:shape>
            <v:shape style="position:absolute;left:2536;top:221;width:2;height:31" coordorigin="2536,222" coordsize="0,31" path="m2536,222l2536,252,2536,222xe" filled="true" fillcolor="#4a7ebb" stroked="false">
              <v:path arrowok="t"/>
              <v:fill type="solid"/>
            </v:shape>
            <v:shape style="position:absolute;left:2536;top:236;width:2;height:2" coordorigin="2536,237" coordsize="0,0" path="m2536,237l2536,237,2536,237e" filled="false" stroked="true" strokeweight="1.500729pt" strokecolor="#4a7ebb">
              <v:path arrowok="t"/>
              <v:stroke dashstyle="solid"/>
            </v:shape>
            <w10:wrap type="topAndBottom"/>
          </v:group>
        </w:pic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19"/>
        </w:rPr>
      </w:pPr>
    </w:p>
    <w:p>
      <w:pPr>
        <w:spacing w:before="64"/>
        <w:ind w:left="5669" w:right="0" w:firstLine="0"/>
        <w:jc w:val="left"/>
        <w:rPr>
          <w:rFonts w:ascii="Carlito"/>
          <w:b/>
          <w:sz w:val="19"/>
        </w:rPr>
      </w:pPr>
      <w:r>
        <w:rPr/>
        <w:drawing>
          <wp:anchor distT="0" distB="0" distL="0" distR="0" allowOverlap="1" layoutInCell="1" locked="0" behindDoc="0" simplePos="0" relativeHeight="15879168">
            <wp:simplePos x="0" y="0"/>
            <wp:positionH relativeFrom="page">
              <wp:posOffset>2546642</wp:posOffset>
            </wp:positionH>
            <wp:positionV relativeFrom="paragraph">
              <wp:posOffset>-788931</wp:posOffset>
            </wp:positionV>
            <wp:extent cx="1710156" cy="2629623"/>
            <wp:effectExtent l="0" t="0" r="0" b="0"/>
            <wp:wrapNone/>
            <wp:docPr id="281" name="image145.jpeg" descr="þÿ"/>
            <wp:cNvGraphicFramePr>
              <a:graphicFrameLocks noChangeAspect="1"/>
            </wp:cNvGraphicFramePr>
            <a:graphic>
              <a:graphicData uri="http://schemas.openxmlformats.org/drawingml/2006/picture">
                <pic:pic>
                  <pic:nvPicPr>
                    <pic:cNvPr id="282" name="image145.jpeg"/>
                    <pic:cNvPicPr/>
                  </pic:nvPicPr>
                  <pic:blipFill>
                    <a:blip r:embed="rId157" cstate="print"/>
                    <a:stretch>
                      <a:fillRect/>
                    </a:stretch>
                  </pic:blipFill>
                  <pic:spPr>
                    <a:xfrm>
                      <a:off x="0" y="0"/>
                      <a:ext cx="1710156" cy="2629623"/>
                    </a:xfrm>
                    <a:prstGeom prst="rect">
                      <a:avLst/>
                    </a:prstGeom>
                  </pic:spPr>
                </pic:pic>
              </a:graphicData>
            </a:graphic>
          </wp:anchor>
        </w:drawing>
      </w:r>
      <w:r>
        <w:rPr>
          <w:rFonts w:ascii="Carlito"/>
          <w:b/>
          <w:sz w:val="19"/>
        </w:rPr>
        <w:t>Plasmid DNA</w:t>
      </w:r>
    </w:p>
    <w:p>
      <w:pPr>
        <w:pStyle w:val="BodyText"/>
        <w:rPr>
          <w:rFonts w:ascii="Carlito"/>
          <w:b/>
          <w:sz w:val="18"/>
        </w:rPr>
      </w:pPr>
    </w:p>
    <w:p>
      <w:pPr>
        <w:pStyle w:val="BodyText"/>
        <w:rPr>
          <w:rFonts w:ascii="Carlito"/>
          <w:b/>
          <w:sz w:val="18"/>
        </w:rPr>
      </w:pPr>
    </w:p>
    <w:p>
      <w:pPr>
        <w:pStyle w:val="BodyText"/>
        <w:rPr>
          <w:rFonts w:ascii="Carlito"/>
          <w:b/>
          <w:sz w:val="18"/>
        </w:rPr>
      </w:pPr>
    </w:p>
    <w:p>
      <w:pPr>
        <w:pStyle w:val="BodyText"/>
        <w:rPr>
          <w:rFonts w:ascii="Carlito"/>
          <w:b/>
          <w:sz w:val="18"/>
        </w:rPr>
      </w:pPr>
    </w:p>
    <w:p>
      <w:pPr>
        <w:pStyle w:val="BodyText"/>
        <w:spacing w:before="5"/>
        <w:rPr>
          <w:rFonts w:ascii="Carlito"/>
          <w:b/>
          <w:sz w:val="13"/>
        </w:rPr>
      </w:pPr>
    </w:p>
    <w:p>
      <w:pPr>
        <w:spacing w:before="0"/>
        <w:ind w:left="5611" w:right="0" w:firstLine="0"/>
        <w:jc w:val="left"/>
        <w:rPr>
          <w:rFonts w:ascii="Carlito"/>
          <w:b/>
          <w:sz w:val="19"/>
        </w:rPr>
      </w:pPr>
      <w:r>
        <w:rPr>
          <w:rFonts w:ascii="Carlito"/>
          <w:b/>
          <w:sz w:val="19"/>
        </w:rPr>
        <w:t>RNA</w:t>
      </w:r>
    </w:p>
    <w:p>
      <w:pPr>
        <w:pStyle w:val="BodyText"/>
        <w:rPr>
          <w:rFonts w:ascii="Carlito"/>
          <w:b/>
          <w:sz w:val="20"/>
        </w:rPr>
      </w:pPr>
    </w:p>
    <w:p>
      <w:pPr>
        <w:pStyle w:val="BodyText"/>
        <w:rPr>
          <w:rFonts w:ascii="Carlito"/>
          <w:b/>
          <w:sz w:val="20"/>
        </w:rPr>
      </w:pPr>
    </w:p>
    <w:p>
      <w:pPr>
        <w:pStyle w:val="BodyText"/>
        <w:rPr>
          <w:rFonts w:ascii="Carlito"/>
          <w:b/>
          <w:sz w:val="20"/>
        </w:rPr>
      </w:pPr>
    </w:p>
    <w:p>
      <w:pPr>
        <w:pStyle w:val="BodyText"/>
        <w:rPr>
          <w:rFonts w:ascii="Carlito"/>
          <w:b/>
          <w:sz w:val="20"/>
        </w:rPr>
      </w:pPr>
    </w:p>
    <w:p>
      <w:pPr>
        <w:pStyle w:val="BodyText"/>
        <w:rPr>
          <w:rFonts w:ascii="Carlito"/>
          <w:b/>
          <w:sz w:val="20"/>
        </w:rPr>
      </w:pPr>
    </w:p>
    <w:p>
      <w:pPr>
        <w:pStyle w:val="BodyText"/>
        <w:rPr>
          <w:rFonts w:ascii="Carlito"/>
          <w:b/>
          <w:sz w:val="20"/>
        </w:rPr>
      </w:pPr>
    </w:p>
    <w:p>
      <w:pPr>
        <w:pStyle w:val="BodyText"/>
        <w:rPr>
          <w:rFonts w:ascii="Carlito"/>
          <w:b/>
          <w:sz w:val="20"/>
        </w:rPr>
      </w:pPr>
    </w:p>
    <w:p>
      <w:pPr>
        <w:pStyle w:val="BodyText"/>
        <w:rPr>
          <w:rFonts w:ascii="Carlito"/>
          <w:b/>
          <w:sz w:val="20"/>
        </w:rPr>
      </w:pPr>
    </w:p>
    <w:p>
      <w:pPr>
        <w:pStyle w:val="BodyText"/>
        <w:spacing w:before="10"/>
        <w:rPr>
          <w:rFonts w:ascii="Carlito"/>
          <w:b/>
          <w:sz w:val="25"/>
        </w:rPr>
      </w:pPr>
    </w:p>
    <w:p>
      <w:pPr>
        <w:spacing w:before="94"/>
        <w:ind w:left="600" w:right="617" w:firstLine="0"/>
        <w:jc w:val="center"/>
        <w:rPr>
          <w:b/>
          <w:sz w:val="16"/>
        </w:rPr>
      </w:pPr>
      <w:r>
        <w:rPr>
          <w:b/>
          <w:sz w:val="16"/>
        </w:rPr>
        <w:t>Figure 24.3: Observation of DNA stained with EtBr in a UV chamber.</w:t>
      </w:r>
    </w:p>
    <w:p>
      <w:pPr>
        <w:spacing w:after="0"/>
        <w:jc w:val="center"/>
        <w:rPr>
          <w:sz w:val="16"/>
        </w:rPr>
        <w:sectPr>
          <w:pgSz w:w="11910" w:h="16840"/>
          <w:pgMar w:header="722" w:footer="748" w:top="1300" w:bottom="940" w:left="1500" w:right="1480"/>
        </w:sectPr>
      </w:pPr>
    </w:p>
    <w:p>
      <w:pPr>
        <w:pStyle w:val="Heading2"/>
      </w:pPr>
      <w:r>
        <w:rPr/>
        <w:t>Lecture 25 Horizontal Gel Electrophoresis (Part-II)</w:t>
      </w:r>
    </w:p>
    <w:p>
      <w:pPr>
        <w:pStyle w:val="BodyText"/>
        <w:spacing w:line="360" w:lineRule="auto" w:before="251"/>
        <w:ind w:left="300" w:right="315"/>
        <w:jc w:val="both"/>
      </w:pPr>
      <w:r>
        <w:rPr>
          <w:b/>
        </w:rPr>
        <w:t>Applications of Horizontal Agarose Gel Electrophoresis: </w:t>
      </w:r>
      <w:r>
        <w:rPr/>
        <w:t>Horizontal gel electrophoresis is used to answer several biological, molecular biology and cell biology question. Here, in today’s lecture we will discuss few selected example of application of horizontal gel electrophoresis-</w:t>
      </w:r>
    </w:p>
    <w:p>
      <w:pPr>
        <w:pStyle w:val="ListParagraph"/>
        <w:numPr>
          <w:ilvl w:val="0"/>
          <w:numId w:val="25"/>
        </w:numPr>
        <w:tabs>
          <w:tab w:pos="620" w:val="left" w:leader="none"/>
        </w:tabs>
        <w:spacing w:line="360" w:lineRule="auto" w:before="200" w:after="0"/>
        <w:ind w:left="300" w:right="315" w:firstLine="0"/>
        <w:jc w:val="both"/>
        <w:rPr>
          <w:sz w:val="24"/>
        </w:rPr>
      </w:pPr>
      <w:r>
        <w:rPr>
          <w:b/>
          <w:sz w:val="24"/>
        </w:rPr>
        <w:t>Determination of size of DNA-</w:t>
      </w:r>
      <w:r>
        <w:rPr>
          <w:sz w:val="24"/>
        </w:rPr>
        <w:t>The size of a DNA can be determined by comparing the size of the known DNA molecules. The DNA of known sizes are resolved on 0.8% agarose along with the unknown sample. The value of the relative migration (Rf) of each DNA band is calculated from the agarose gel. The values of relative migration (Rf) and size of the DNA is used to draw the calibration curve to calculate the size of the unknown DNA</w:t>
      </w:r>
      <w:r>
        <w:rPr>
          <w:spacing w:val="-7"/>
          <w:sz w:val="24"/>
        </w:rPr>
        <w:t> </w:t>
      </w:r>
      <w:r>
        <w:rPr>
          <w:sz w:val="24"/>
        </w:rPr>
        <w:t>samples.</w:t>
      </w:r>
    </w:p>
    <w:p>
      <w:pPr>
        <w:pStyle w:val="ListParagraph"/>
        <w:numPr>
          <w:ilvl w:val="0"/>
          <w:numId w:val="25"/>
        </w:numPr>
        <w:tabs>
          <w:tab w:pos="572" w:val="left" w:leader="none"/>
        </w:tabs>
        <w:spacing w:line="360" w:lineRule="auto" w:before="199" w:after="0"/>
        <w:ind w:left="300" w:right="317" w:firstLine="0"/>
        <w:jc w:val="both"/>
        <w:rPr>
          <w:sz w:val="24"/>
        </w:rPr>
      </w:pPr>
      <w:r>
        <w:rPr>
          <w:b/>
          <w:sz w:val="24"/>
        </w:rPr>
        <w:t>DNA-Protein Interaction-</w:t>
      </w:r>
      <w:r>
        <w:rPr>
          <w:sz w:val="24"/>
        </w:rPr>
        <w:t>DNA is a negatively charged molecule and it interact with positively charged protein to form DNA-protein complex. The size and the hydrodynamic volume changes when DNA is interacting with protein to form DNA- protein</w:t>
      </w:r>
      <w:r>
        <w:rPr>
          <w:spacing w:val="-1"/>
          <w:sz w:val="24"/>
        </w:rPr>
        <w:t> </w:t>
      </w:r>
      <w:r>
        <w:rPr>
          <w:sz w:val="24"/>
        </w:rPr>
        <w:t>complex.</w:t>
      </w:r>
    </w:p>
    <w:p>
      <w:pPr>
        <w:pStyle w:val="BodyText"/>
        <w:spacing w:before="7"/>
        <w:rPr>
          <w:sz w:val="14"/>
        </w:rPr>
      </w:pPr>
      <w:r>
        <w:rPr/>
        <w:drawing>
          <wp:anchor distT="0" distB="0" distL="0" distR="0" allowOverlap="1" layoutInCell="1" locked="0" behindDoc="0" simplePos="0" relativeHeight="295">
            <wp:simplePos x="0" y="0"/>
            <wp:positionH relativeFrom="page">
              <wp:posOffset>1143563</wp:posOffset>
            </wp:positionH>
            <wp:positionV relativeFrom="paragraph">
              <wp:posOffset>131530</wp:posOffset>
            </wp:positionV>
            <wp:extent cx="5304283" cy="390048"/>
            <wp:effectExtent l="0" t="0" r="0" b="0"/>
            <wp:wrapTopAndBottom/>
            <wp:docPr id="283" name="image146.png"/>
            <wp:cNvGraphicFramePr>
              <a:graphicFrameLocks noChangeAspect="1"/>
            </wp:cNvGraphicFramePr>
            <a:graphic>
              <a:graphicData uri="http://schemas.openxmlformats.org/drawingml/2006/picture">
                <pic:pic>
                  <pic:nvPicPr>
                    <pic:cNvPr id="284" name="image146.png"/>
                    <pic:cNvPicPr/>
                  </pic:nvPicPr>
                  <pic:blipFill>
                    <a:blip r:embed="rId158" cstate="print"/>
                    <a:stretch>
                      <a:fillRect/>
                    </a:stretch>
                  </pic:blipFill>
                  <pic:spPr>
                    <a:xfrm>
                      <a:off x="0" y="0"/>
                      <a:ext cx="5304283" cy="390048"/>
                    </a:xfrm>
                    <a:prstGeom prst="rect">
                      <a:avLst/>
                    </a:prstGeom>
                  </pic:spPr>
                </pic:pic>
              </a:graphicData>
            </a:graphic>
          </wp:anchor>
        </w:drawing>
      </w:r>
    </w:p>
    <w:p>
      <w:pPr>
        <w:pStyle w:val="BodyText"/>
        <w:spacing w:before="5"/>
        <w:rPr>
          <w:sz w:val="26"/>
        </w:rPr>
      </w:pPr>
    </w:p>
    <w:p>
      <w:pPr>
        <w:pStyle w:val="BodyText"/>
        <w:spacing w:line="360" w:lineRule="auto"/>
        <w:ind w:left="300" w:right="315"/>
        <w:jc w:val="both"/>
      </w:pPr>
      <w:r>
        <w:rPr/>
        <w:t>To study the DNA-protein interaction, a fix amount of DNA is incubated with the increasing concentration of protein (Figure 25.1). Due to the formation of DNA- protein complex, the hydrodynamic volume of the complex increases and a shift in band is observed. The DNA has a extended structure and it provides docking site for several protein molecules such as single stranded binding protein (SSB). As a result, a gradual shift in DNA band will be observed until the DNA binding site is not saturated with the protein molecules. Hence, at the end of the experiment, we can be able to understand several aspects of DNA-protein</w:t>
      </w:r>
      <w:r>
        <w:rPr>
          <w:spacing w:val="-3"/>
        </w:rPr>
        <w:t> </w:t>
      </w:r>
      <w:r>
        <w:rPr/>
        <w:t>interaction:</w:t>
      </w:r>
    </w:p>
    <w:p>
      <w:pPr>
        <w:pStyle w:val="ListParagraph"/>
        <w:numPr>
          <w:ilvl w:val="0"/>
          <w:numId w:val="26"/>
        </w:numPr>
        <w:tabs>
          <w:tab w:pos="567" w:val="left" w:leader="none"/>
        </w:tabs>
        <w:spacing w:line="360" w:lineRule="auto" w:before="200" w:after="0"/>
        <w:ind w:left="300" w:right="317" w:firstLine="0"/>
        <w:jc w:val="both"/>
        <w:rPr>
          <w:sz w:val="24"/>
        </w:rPr>
      </w:pPr>
      <w:r>
        <w:rPr>
          <w:sz w:val="24"/>
        </w:rPr>
        <w:t>Whether protein-X has a affinity for DNA and the interaction is specific or non- specific in</w:t>
      </w:r>
      <w:r>
        <w:rPr>
          <w:spacing w:val="-2"/>
          <w:sz w:val="24"/>
        </w:rPr>
        <w:t> </w:t>
      </w:r>
      <w:r>
        <w:rPr>
          <w:sz w:val="24"/>
        </w:rPr>
        <w:t>nature.</w:t>
      </w:r>
    </w:p>
    <w:p>
      <w:pPr>
        <w:pStyle w:val="ListParagraph"/>
        <w:numPr>
          <w:ilvl w:val="0"/>
          <w:numId w:val="26"/>
        </w:numPr>
        <w:tabs>
          <w:tab w:pos="569" w:val="left" w:leader="none"/>
        </w:tabs>
        <w:spacing w:line="360" w:lineRule="auto" w:before="199" w:after="0"/>
        <w:ind w:left="300" w:right="316" w:firstLine="0"/>
        <w:jc w:val="both"/>
        <w:rPr>
          <w:sz w:val="24"/>
        </w:rPr>
      </w:pPr>
      <w:r>
        <w:rPr>
          <w:sz w:val="24"/>
        </w:rPr>
        <w:t>What will be affinity parameters of the interaction of DNA to protein in making DNA-protein</w:t>
      </w:r>
      <w:r>
        <w:rPr>
          <w:spacing w:val="1"/>
          <w:sz w:val="24"/>
        </w:rPr>
        <w:t> </w:t>
      </w:r>
      <w:r>
        <w:rPr>
          <w:sz w:val="24"/>
        </w:rPr>
        <w:t>complex?</w:t>
      </w:r>
    </w:p>
    <w:p>
      <w:pPr>
        <w:spacing w:after="0" w:line="360" w:lineRule="auto"/>
        <w:jc w:val="both"/>
        <w:rPr>
          <w:sz w:val="24"/>
        </w:rPr>
        <w:sectPr>
          <w:pgSz w:w="11910" w:h="16840"/>
          <w:pgMar w:header="722" w:footer="748" w:top="1300" w:bottom="940" w:left="1500" w:right="1480"/>
        </w:sectPr>
      </w:pPr>
    </w:p>
    <w:p>
      <w:pPr>
        <w:pStyle w:val="BodyText"/>
        <w:rPr>
          <w:sz w:val="20"/>
        </w:rPr>
      </w:pPr>
    </w:p>
    <w:p>
      <w:pPr>
        <w:pStyle w:val="BodyText"/>
        <w:rPr>
          <w:sz w:val="20"/>
        </w:rPr>
      </w:pPr>
    </w:p>
    <w:p>
      <w:pPr>
        <w:pStyle w:val="BodyText"/>
        <w:spacing w:before="4"/>
      </w:pPr>
    </w:p>
    <w:p>
      <w:pPr>
        <w:pStyle w:val="BodyText"/>
        <w:ind w:left="1142"/>
        <w:rPr>
          <w:sz w:val="20"/>
        </w:rPr>
      </w:pPr>
      <w:r>
        <w:rPr>
          <w:sz w:val="20"/>
        </w:rPr>
        <w:drawing>
          <wp:inline distT="0" distB="0" distL="0" distR="0">
            <wp:extent cx="4211320" cy="5486400"/>
            <wp:effectExtent l="0" t="0" r="0" b="0"/>
            <wp:docPr id="285" name="image147.png"/>
            <wp:cNvGraphicFramePr>
              <a:graphicFrameLocks noChangeAspect="1"/>
            </wp:cNvGraphicFramePr>
            <a:graphic>
              <a:graphicData uri="http://schemas.openxmlformats.org/drawingml/2006/picture">
                <pic:pic>
                  <pic:nvPicPr>
                    <pic:cNvPr id="286" name="image147.png"/>
                    <pic:cNvPicPr/>
                  </pic:nvPicPr>
                  <pic:blipFill>
                    <a:blip r:embed="rId159" cstate="print"/>
                    <a:stretch>
                      <a:fillRect/>
                    </a:stretch>
                  </pic:blipFill>
                  <pic:spPr>
                    <a:xfrm>
                      <a:off x="0" y="0"/>
                      <a:ext cx="4211320" cy="5486400"/>
                    </a:xfrm>
                    <a:prstGeom prst="rect">
                      <a:avLst/>
                    </a:prstGeom>
                  </pic:spPr>
                </pic:pic>
              </a:graphicData>
            </a:graphic>
          </wp:inline>
        </w:drawing>
      </w:r>
      <w:r>
        <w:rPr>
          <w:sz w:val="20"/>
        </w:rPr>
      </w:r>
    </w:p>
    <w:p>
      <w:pPr>
        <w:pStyle w:val="BodyText"/>
        <w:spacing w:before="1"/>
        <w:rPr>
          <w:sz w:val="21"/>
        </w:rPr>
      </w:pPr>
    </w:p>
    <w:p>
      <w:pPr>
        <w:spacing w:before="94"/>
        <w:ind w:left="601" w:right="617" w:firstLine="0"/>
        <w:jc w:val="center"/>
        <w:rPr>
          <w:b/>
          <w:sz w:val="16"/>
        </w:rPr>
      </w:pPr>
      <w:r>
        <w:rPr>
          <w:b/>
          <w:sz w:val="16"/>
        </w:rPr>
        <w:t>Figure 25.1: DNA-Protein interaction analysis by agarose gel electrophoresis.</w:t>
      </w:r>
    </w:p>
    <w:p>
      <w:pPr>
        <w:spacing w:after="0"/>
        <w:jc w:val="center"/>
        <w:rPr>
          <w:sz w:val="16"/>
        </w:rPr>
        <w:sectPr>
          <w:pgSz w:w="11910" w:h="16840"/>
          <w:pgMar w:header="722" w:footer="748" w:top="1300" w:bottom="940" w:left="1500" w:right="1480"/>
        </w:sectPr>
      </w:pPr>
    </w:p>
    <w:p>
      <w:pPr>
        <w:pStyle w:val="ListParagraph"/>
        <w:numPr>
          <w:ilvl w:val="0"/>
          <w:numId w:val="26"/>
        </w:numPr>
        <w:tabs>
          <w:tab w:pos="574" w:val="left" w:leader="none"/>
        </w:tabs>
        <w:spacing w:line="360" w:lineRule="auto" w:before="119" w:after="0"/>
        <w:ind w:left="300" w:right="315" w:firstLine="0"/>
        <w:jc w:val="both"/>
        <w:rPr>
          <w:sz w:val="24"/>
        </w:rPr>
      </w:pPr>
      <w:r>
        <w:rPr>
          <w:b/>
          <w:sz w:val="24"/>
        </w:rPr>
        <w:t>Electroelution-</w:t>
      </w:r>
      <w:r>
        <w:rPr>
          <w:sz w:val="24"/>
        </w:rPr>
        <w:t>As discussed in previous lecture, protein band present within the polyacrylamide gel block is removed by electroelution for further usage (Figure 25.2). In the electroelution, a gel band is cut from the SDS-PAGE and placed in a dialysis bag and sealed from both ends. The dialysis bag is choosen so that the molecular weight cut off of dialysis membrane should be lower than the protein of interest. The dialysis bag is placed in the horizontal gel apparatus with buffer and electrophoresis is performed with a constant voltage. During electrophoresis the protein band migrate and ultimately comes out from the gel block. Due to dialysis bag, salt and other small molecule contaminant moves out of the dialysis bag but protein remain trapped within the dialysis bag. Protein can be recovered from the dialysis bag for further use in downstream</w:t>
      </w:r>
      <w:r>
        <w:rPr>
          <w:spacing w:val="-1"/>
          <w:sz w:val="24"/>
        </w:rPr>
        <w:t> </w:t>
      </w:r>
      <w:r>
        <w:rPr>
          <w:sz w:val="24"/>
        </w:rPr>
        <w:t>processing.</w:t>
      </w:r>
    </w:p>
    <w:p>
      <w:pPr>
        <w:pStyle w:val="BodyText"/>
        <w:spacing w:before="7"/>
        <w:rPr>
          <w:sz w:val="14"/>
        </w:rPr>
      </w:pPr>
      <w:r>
        <w:rPr/>
        <w:drawing>
          <wp:anchor distT="0" distB="0" distL="0" distR="0" allowOverlap="1" layoutInCell="1" locked="0" behindDoc="0" simplePos="0" relativeHeight="296">
            <wp:simplePos x="0" y="0"/>
            <wp:positionH relativeFrom="page">
              <wp:posOffset>1227175</wp:posOffset>
            </wp:positionH>
            <wp:positionV relativeFrom="paragraph">
              <wp:posOffset>131494</wp:posOffset>
            </wp:positionV>
            <wp:extent cx="5122102" cy="2816352"/>
            <wp:effectExtent l="0" t="0" r="0" b="0"/>
            <wp:wrapTopAndBottom/>
            <wp:docPr id="287" name="image148.png"/>
            <wp:cNvGraphicFramePr>
              <a:graphicFrameLocks noChangeAspect="1"/>
            </wp:cNvGraphicFramePr>
            <a:graphic>
              <a:graphicData uri="http://schemas.openxmlformats.org/drawingml/2006/picture">
                <pic:pic>
                  <pic:nvPicPr>
                    <pic:cNvPr id="288" name="image148.png"/>
                    <pic:cNvPicPr/>
                  </pic:nvPicPr>
                  <pic:blipFill>
                    <a:blip r:embed="rId160" cstate="print"/>
                    <a:stretch>
                      <a:fillRect/>
                    </a:stretch>
                  </pic:blipFill>
                  <pic:spPr>
                    <a:xfrm>
                      <a:off x="0" y="0"/>
                      <a:ext cx="5122102" cy="2816352"/>
                    </a:xfrm>
                    <a:prstGeom prst="rect">
                      <a:avLst/>
                    </a:prstGeom>
                  </pic:spPr>
                </pic:pic>
              </a:graphicData>
            </a:graphic>
          </wp:anchor>
        </w:drawing>
      </w:r>
    </w:p>
    <w:p>
      <w:pPr>
        <w:pStyle w:val="BodyText"/>
        <w:rPr>
          <w:sz w:val="26"/>
        </w:rPr>
      </w:pPr>
    </w:p>
    <w:p>
      <w:pPr>
        <w:spacing w:before="0"/>
        <w:ind w:left="598" w:right="617" w:firstLine="0"/>
        <w:jc w:val="center"/>
        <w:rPr>
          <w:b/>
          <w:sz w:val="16"/>
        </w:rPr>
      </w:pPr>
      <w:r>
        <w:rPr>
          <w:b/>
          <w:sz w:val="16"/>
        </w:rPr>
        <w:t>Figure 25.2: Electroelution using horizontal gel electrophoresis apparatus.</w:t>
      </w:r>
    </w:p>
    <w:p>
      <w:pPr>
        <w:spacing w:after="0"/>
        <w:jc w:val="center"/>
        <w:rPr>
          <w:sz w:val="16"/>
        </w:rPr>
        <w:sectPr>
          <w:pgSz w:w="11910" w:h="16840"/>
          <w:pgMar w:header="722" w:footer="748" w:top="1300" w:bottom="940" w:left="1500" w:right="1480"/>
        </w:sectPr>
      </w:pPr>
    </w:p>
    <w:p>
      <w:pPr>
        <w:pStyle w:val="ListParagraph"/>
        <w:numPr>
          <w:ilvl w:val="0"/>
          <w:numId w:val="26"/>
        </w:numPr>
        <w:tabs>
          <w:tab w:pos="576" w:val="left" w:leader="none"/>
        </w:tabs>
        <w:spacing w:line="360" w:lineRule="auto" w:before="119" w:after="0"/>
        <w:ind w:left="299" w:right="315" w:firstLine="0"/>
        <w:jc w:val="both"/>
        <w:rPr>
          <w:sz w:val="24"/>
        </w:rPr>
      </w:pPr>
      <w:r>
        <w:rPr>
          <w:b/>
          <w:sz w:val="24"/>
        </w:rPr>
        <w:t>Southern blotting- </w:t>
      </w:r>
      <w:r>
        <w:rPr>
          <w:sz w:val="24"/>
        </w:rPr>
        <w:t>In southern blotting, the genomic DNA is digested with the EcoRI or BamHI and the DNA fragments are resolved on the agarose gel. The gel is incubated in an alkaline solution to denature the double stranded DNA to single stranded form. DNA is transferred on the nitrocellulose membrane by capillary action by applying a uniform pressure either by suction pressure or by placing wet paper towels. The membrane is incubated with a non-specific DNA such as sonicated calf thymus genomic DNA to block the binding sites on the membrane. A single stranded radioactive probe is added to the membrane and allowed to bind. Membrane is washed and the blot is developed by autoradiography. The DNA fragment complementary to the probe sequence binds the radioactive probe and give positive signal (Figure</w:t>
      </w:r>
      <w:r>
        <w:rPr>
          <w:spacing w:val="-2"/>
          <w:sz w:val="24"/>
        </w:rPr>
        <w:t> </w:t>
      </w:r>
      <w:r>
        <w:rPr>
          <w:sz w:val="24"/>
        </w:rPr>
        <w:t>25.3).</w:t>
      </w:r>
    </w:p>
    <w:p>
      <w:pPr>
        <w:pStyle w:val="BodyText"/>
        <w:spacing w:before="7"/>
        <w:rPr>
          <w:sz w:val="14"/>
        </w:rPr>
      </w:pPr>
      <w:r>
        <w:rPr/>
        <w:drawing>
          <wp:anchor distT="0" distB="0" distL="0" distR="0" allowOverlap="1" layoutInCell="1" locked="0" behindDoc="0" simplePos="0" relativeHeight="297">
            <wp:simplePos x="0" y="0"/>
            <wp:positionH relativeFrom="page">
              <wp:posOffset>1149045</wp:posOffset>
            </wp:positionH>
            <wp:positionV relativeFrom="paragraph">
              <wp:posOffset>131494</wp:posOffset>
            </wp:positionV>
            <wp:extent cx="5270634" cy="2602992"/>
            <wp:effectExtent l="0" t="0" r="0" b="0"/>
            <wp:wrapTopAndBottom/>
            <wp:docPr id="289" name="image149.png"/>
            <wp:cNvGraphicFramePr>
              <a:graphicFrameLocks noChangeAspect="1"/>
            </wp:cNvGraphicFramePr>
            <a:graphic>
              <a:graphicData uri="http://schemas.openxmlformats.org/drawingml/2006/picture">
                <pic:pic>
                  <pic:nvPicPr>
                    <pic:cNvPr id="290" name="image149.png"/>
                    <pic:cNvPicPr/>
                  </pic:nvPicPr>
                  <pic:blipFill>
                    <a:blip r:embed="rId161" cstate="print"/>
                    <a:stretch>
                      <a:fillRect/>
                    </a:stretch>
                  </pic:blipFill>
                  <pic:spPr>
                    <a:xfrm>
                      <a:off x="0" y="0"/>
                      <a:ext cx="5270634" cy="2602992"/>
                    </a:xfrm>
                    <a:prstGeom prst="rect">
                      <a:avLst/>
                    </a:prstGeom>
                  </pic:spPr>
                </pic:pic>
              </a:graphicData>
            </a:graphic>
          </wp:anchor>
        </w:drawing>
      </w:r>
    </w:p>
    <w:p>
      <w:pPr>
        <w:pStyle w:val="BodyText"/>
        <w:spacing w:before="5"/>
        <w:rPr>
          <w:sz w:val="36"/>
        </w:rPr>
      </w:pPr>
    </w:p>
    <w:p>
      <w:pPr>
        <w:spacing w:before="0"/>
        <w:ind w:left="600" w:right="617" w:firstLine="0"/>
        <w:jc w:val="center"/>
        <w:rPr>
          <w:b/>
          <w:sz w:val="16"/>
        </w:rPr>
      </w:pPr>
      <w:r>
        <w:rPr>
          <w:b/>
          <w:sz w:val="16"/>
        </w:rPr>
        <w:t>Figure 25.3: Southern Blotting using horizontal gel electrophoresis apparatus.</w:t>
      </w:r>
    </w:p>
    <w:p>
      <w:pPr>
        <w:spacing w:after="0"/>
        <w:jc w:val="center"/>
        <w:rPr>
          <w:sz w:val="16"/>
        </w:rPr>
        <w:sectPr>
          <w:pgSz w:w="11910" w:h="16840"/>
          <w:pgMar w:header="722" w:footer="748" w:top="1300" w:bottom="940" w:left="1500" w:right="1480"/>
        </w:sectPr>
      </w:pPr>
    </w:p>
    <w:p>
      <w:pPr>
        <w:pStyle w:val="ListParagraph"/>
        <w:numPr>
          <w:ilvl w:val="0"/>
          <w:numId w:val="26"/>
        </w:numPr>
        <w:tabs>
          <w:tab w:pos="644" w:val="left" w:leader="none"/>
        </w:tabs>
        <w:spacing w:line="360" w:lineRule="auto" w:before="119" w:after="0"/>
        <w:ind w:left="299" w:right="315" w:firstLine="0"/>
        <w:jc w:val="both"/>
        <w:rPr>
          <w:sz w:val="24"/>
        </w:rPr>
      </w:pPr>
      <w:r>
        <w:rPr>
          <w:b/>
          <w:sz w:val="24"/>
        </w:rPr>
        <w:t>Protein kinase assay-</w:t>
      </w:r>
      <w:r>
        <w:rPr>
          <w:sz w:val="24"/>
        </w:rPr>
        <w:t>During a kinase reaction, protein kinase transfers a phosphate group from ATP to the substrate and impart a net negative charge on the substrate molecule. In the protein kinase assay, a peptide with net +1 charge is incubated in assay buffer containing enzyme, non-radioactive ATP. A control reaction is also performed where the enzyme is removed from the assay mixture. Both experimental and control reactions are loaded in the middle of the agarose gel. Peptide present in the control reaction has a net +1 charge and it will migrate towards –ve electrode where as peptide in experimental reaction has a net -1 charge and it will migrate towards +Ve electrode (Figure 25.4). The assay gives qualitative or semi- quantitative information about the protein kinase activity. But this assay can be used test different peptide sequences to known optimal peptide sequence of the substrate. The assay is easy to perform and it does not require any specialized</w:t>
      </w:r>
      <w:r>
        <w:rPr>
          <w:spacing w:val="-16"/>
          <w:sz w:val="24"/>
        </w:rPr>
        <w:t> </w:t>
      </w:r>
      <w:r>
        <w:rPr>
          <w:sz w:val="24"/>
        </w:rPr>
        <w:t>equipments.</w:t>
      </w:r>
    </w:p>
    <w:p>
      <w:pPr>
        <w:pStyle w:val="BodyText"/>
        <w:spacing w:before="6"/>
        <w:rPr>
          <w:sz w:val="14"/>
        </w:rPr>
      </w:pPr>
      <w:r>
        <w:rPr/>
        <w:drawing>
          <wp:anchor distT="0" distB="0" distL="0" distR="0" allowOverlap="1" layoutInCell="1" locked="0" behindDoc="0" simplePos="0" relativeHeight="298">
            <wp:simplePos x="0" y="0"/>
            <wp:positionH relativeFrom="page">
              <wp:posOffset>1162418</wp:posOffset>
            </wp:positionH>
            <wp:positionV relativeFrom="paragraph">
              <wp:posOffset>131351</wp:posOffset>
            </wp:positionV>
            <wp:extent cx="5309549" cy="3419855"/>
            <wp:effectExtent l="0" t="0" r="0" b="0"/>
            <wp:wrapTopAndBottom/>
            <wp:docPr id="291" name="image150.png"/>
            <wp:cNvGraphicFramePr>
              <a:graphicFrameLocks noChangeAspect="1"/>
            </wp:cNvGraphicFramePr>
            <a:graphic>
              <a:graphicData uri="http://schemas.openxmlformats.org/drawingml/2006/picture">
                <pic:pic>
                  <pic:nvPicPr>
                    <pic:cNvPr id="292" name="image150.png"/>
                    <pic:cNvPicPr/>
                  </pic:nvPicPr>
                  <pic:blipFill>
                    <a:blip r:embed="rId162" cstate="print"/>
                    <a:stretch>
                      <a:fillRect/>
                    </a:stretch>
                  </pic:blipFill>
                  <pic:spPr>
                    <a:xfrm>
                      <a:off x="0" y="0"/>
                      <a:ext cx="5309549" cy="3419855"/>
                    </a:xfrm>
                    <a:prstGeom prst="rect">
                      <a:avLst/>
                    </a:prstGeom>
                  </pic:spPr>
                </pic:pic>
              </a:graphicData>
            </a:graphic>
          </wp:anchor>
        </w:drawing>
      </w:r>
    </w:p>
    <w:p>
      <w:pPr>
        <w:pStyle w:val="BodyText"/>
        <w:spacing w:before="9"/>
        <w:rPr>
          <w:sz w:val="36"/>
        </w:rPr>
      </w:pPr>
    </w:p>
    <w:p>
      <w:pPr>
        <w:spacing w:before="0"/>
        <w:ind w:left="598" w:right="617" w:firstLine="0"/>
        <w:jc w:val="center"/>
        <w:rPr>
          <w:b/>
          <w:sz w:val="16"/>
        </w:rPr>
      </w:pPr>
      <w:r>
        <w:rPr>
          <w:b/>
          <w:sz w:val="16"/>
        </w:rPr>
        <w:t>Figure 25.4: protein kinase assay using agarose gel electrophoresis.</w:t>
      </w:r>
    </w:p>
    <w:p>
      <w:pPr>
        <w:spacing w:after="0"/>
        <w:jc w:val="center"/>
        <w:rPr>
          <w:sz w:val="16"/>
        </w:rPr>
        <w:sectPr>
          <w:pgSz w:w="11910" w:h="16840"/>
          <w:pgMar w:header="722" w:footer="748" w:top="1300" w:bottom="940" w:left="1500" w:right="1480"/>
        </w:sectPr>
      </w:pPr>
    </w:p>
    <w:p>
      <w:pPr>
        <w:pStyle w:val="Heading2"/>
      </w:pPr>
      <w:r>
        <w:rPr/>
        <w:t>Lecture 26 Horizontal Gel Electrophoresis (Part-III)</w:t>
      </w:r>
    </w:p>
    <w:p>
      <w:pPr>
        <w:pStyle w:val="BodyText"/>
        <w:spacing w:line="360" w:lineRule="auto" w:before="251"/>
        <w:ind w:left="299" w:right="315"/>
        <w:jc w:val="both"/>
      </w:pPr>
      <w:r>
        <w:rPr>
          <w:b/>
        </w:rPr>
        <w:t>Introduction- </w:t>
      </w:r>
      <w:r>
        <w:rPr/>
        <w:t>Complex protein mixture or nucleic acids are analyzed using polyacrylamide or agarose gel respectively. The vertical gel system has limitation of being not been able to use to analyze proteins of both charge (negative or positive) in the same gel.</w:t>
      </w:r>
    </w:p>
    <w:p>
      <w:pPr>
        <w:spacing w:line="360" w:lineRule="auto" w:before="200"/>
        <w:ind w:left="299" w:right="315" w:firstLine="0"/>
        <w:jc w:val="both"/>
        <w:rPr>
          <w:sz w:val="24"/>
        </w:rPr>
      </w:pPr>
      <w:r>
        <w:rPr>
          <w:b/>
          <w:sz w:val="24"/>
        </w:rPr>
        <w:t>Horizontal Polyacryalamide gel electrophoresis- </w:t>
      </w:r>
      <w:r>
        <w:rPr>
          <w:spacing w:val="-3"/>
          <w:sz w:val="24"/>
        </w:rPr>
        <w:t>In </w:t>
      </w:r>
      <w:r>
        <w:rPr>
          <w:sz w:val="24"/>
        </w:rPr>
        <w:t>this apparatus, the complex biological sample is resolved as per their charge and move to the counter charge electrode. The sample loaded in the middle of the gel get resolved based on their mass/charge ratio. The gel cassette designed to prepare agarose gel is not appropriate to cast polyacrylamide gel due to exposure of gel with the environmental oxygen </w:t>
      </w:r>
      <w:r>
        <w:rPr>
          <w:b/>
          <w:sz w:val="24"/>
        </w:rPr>
        <w:t>[Presence of oxygen inhibits the polymerization of acrylamide to form polyacrylamide gel]</w:t>
      </w:r>
      <w:r>
        <w:rPr>
          <w:sz w:val="24"/>
        </w:rPr>
        <w:t>. The horizontal native PAGE separates protein mixture with high resolution and protein migration (R</w:t>
      </w:r>
      <w:r>
        <w:rPr>
          <w:sz w:val="24"/>
          <w:vertAlign w:val="subscript"/>
        </w:rPr>
        <w:t>f</w:t>
      </w:r>
      <w:r>
        <w:rPr>
          <w:sz w:val="24"/>
          <w:vertAlign w:val="baseline"/>
        </w:rPr>
        <w:t>) correlates well with mass/charge</w:t>
      </w:r>
      <w:r>
        <w:rPr>
          <w:spacing w:val="-9"/>
          <w:sz w:val="24"/>
          <w:vertAlign w:val="baseline"/>
        </w:rPr>
        <w:t> </w:t>
      </w:r>
      <w:r>
        <w:rPr>
          <w:sz w:val="24"/>
          <w:vertAlign w:val="baseline"/>
        </w:rPr>
        <w:t>ratio.</w:t>
      </w:r>
    </w:p>
    <w:p>
      <w:pPr>
        <w:pStyle w:val="Heading4"/>
        <w:spacing w:before="204"/>
        <w:jc w:val="left"/>
      </w:pPr>
      <w:r>
        <w:rPr/>
        <w:t>Instrumentation</w:t>
      </w:r>
    </w:p>
    <w:p>
      <w:pPr>
        <w:pStyle w:val="BodyText"/>
        <w:rPr>
          <w:b/>
          <w:sz w:val="29"/>
        </w:rPr>
      </w:pPr>
    </w:p>
    <w:p>
      <w:pPr>
        <w:pStyle w:val="BodyText"/>
        <w:spacing w:line="360" w:lineRule="auto"/>
        <w:ind w:left="299" w:right="315"/>
        <w:jc w:val="both"/>
      </w:pPr>
      <w:r>
        <w:rPr>
          <w:b/>
        </w:rPr>
        <w:t>Design of the Gel Cassette- </w:t>
      </w:r>
      <w:r>
        <w:rPr/>
        <w:t>The horizontal native PAGE cassette and comb is given in Figure 26.1. The gel cassette consists of 3 plates, one big plate and 2 small plates. A 2mm thick glass slide is sticked to the large glass plate to give in build spacers. The gel cassette is sealed with a thick foam impregnated with agarose to avoid leakage. Gel cassette is assembled with the help of binder clips with a 1 cm gap to place comb. Comb is also made up of glass</w:t>
      </w:r>
      <w:r>
        <w:rPr>
          <w:spacing w:val="-3"/>
        </w:rPr>
        <w:t> </w:t>
      </w:r>
      <w:r>
        <w:rPr/>
        <w:t>slide.</w:t>
      </w:r>
    </w:p>
    <w:p>
      <w:pPr>
        <w:spacing w:after="0" w:line="360" w:lineRule="auto"/>
        <w:jc w:val="both"/>
        <w:sectPr>
          <w:pgSz w:w="11910" w:h="16840"/>
          <w:pgMar w:header="722" w:footer="748" w:top="1300" w:bottom="940" w:left="1500" w:right="1480"/>
        </w:sectPr>
      </w:pPr>
    </w:p>
    <w:p>
      <w:pPr>
        <w:pStyle w:val="Heading4"/>
        <w:spacing w:before="124"/>
      </w:pPr>
      <w:r>
        <w:rPr/>
        <w:t>Runnining of the Horizontal Native polyacrylamide gel</w:t>
      </w:r>
    </w:p>
    <w:p>
      <w:pPr>
        <w:pStyle w:val="BodyText"/>
        <w:rPr>
          <w:b/>
          <w:sz w:val="29"/>
        </w:rPr>
      </w:pPr>
    </w:p>
    <w:p>
      <w:pPr>
        <w:pStyle w:val="BodyText"/>
        <w:spacing w:line="360" w:lineRule="auto"/>
        <w:ind w:left="299" w:right="313"/>
        <w:jc w:val="both"/>
      </w:pPr>
      <w:r>
        <w:rPr>
          <w:b/>
        </w:rPr>
        <w:t>Casting of the Horizontal Native polyacrylamide gel- </w:t>
      </w:r>
      <w:r>
        <w:rPr/>
        <w:t>Gel cassette is assembled by binder clips to keep 1cm gap between them to place comb. Leakage of the cassette was checked by water before pouring acrylamide solution. Gel cassette kept in vertical position and acrylamide solution is poured into the cassette through 1cm gap. A thin layer of water equilibrated butanol is over-layed on top of resolving gel. Same procedure is adopted to cast the resolving gel on other side of glass plate. Gel cassette is placed horizontally and stacking gel is poured and a comb is place to cast the</w:t>
      </w:r>
      <w:r>
        <w:rPr>
          <w:spacing w:val="-16"/>
        </w:rPr>
        <w:t> </w:t>
      </w:r>
      <w:r>
        <w:rPr/>
        <w:t>wells.</w:t>
      </w:r>
    </w:p>
    <w:p>
      <w:pPr>
        <w:pStyle w:val="BodyText"/>
        <w:spacing w:before="8"/>
        <w:rPr>
          <w:sz w:val="14"/>
        </w:rPr>
      </w:pPr>
      <w:r>
        <w:rPr/>
        <w:drawing>
          <wp:anchor distT="0" distB="0" distL="0" distR="0" allowOverlap="1" layoutInCell="1" locked="0" behindDoc="0" simplePos="0" relativeHeight="299">
            <wp:simplePos x="0" y="0"/>
            <wp:positionH relativeFrom="page">
              <wp:posOffset>1218117</wp:posOffset>
            </wp:positionH>
            <wp:positionV relativeFrom="paragraph">
              <wp:posOffset>132555</wp:posOffset>
            </wp:positionV>
            <wp:extent cx="5131960" cy="3578352"/>
            <wp:effectExtent l="0" t="0" r="0" b="0"/>
            <wp:wrapTopAndBottom/>
            <wp:docPr id="293" name="image151.png" descr="Horizontal gel casette.png"/>
            <wp:cNvGraphicFramePr>
              <a:graphicFrameLocks noChangeAspect="1"/>
            </wp:cNvGraphicFramePr>
            <a:graphic>
              <a:graphicData uri="http://schemas.openxmlformats.org/drawingml/2006/picture">
                <pic:pic>
                  <pic:nvPicPr>
                    <pic:cNvPr id="294" name="image151.png"/>
                    <pic:cNvPicPr/>
                  </pic:nvPicPr>
                  <pic:blipFill>
                    <a:blip r:embed="rId163" cstate="print"/>
                    <a:stretch>
                      <a:fillRect/>
                    </a:stretch>
                  </pic:blipFill>
                  <pic:spPr>
                    <a:xfrm>
                      <a:off x="0" y="0"/>
                      <a:ext cx="5131960" cy="3578352"/>
                    </a:xfrm>
                    <a:prstGeom prst="rect">
                      <a:avLst/>
                    </a:prstGeom>
                  </pic:spPr>
                </pic:pic>
              </a:graphicData>
            </a:graphic>
          </wp:anchor>
        </w:drawing>
      </w:r>
    </w:p>
    <w:p>
      <w:pPr>
        <w:pStyle w:val="BodyText"/>
        <w:spacing w:before="3"/>
        <w:rPr>
          <w:sz w:val="26"/>
        </w:rPr>
      </w:pPr>
    </w:p>
    <w:p>
      <w:pPr>
        <w:spacing w:before="0"/>
        <w:ind w:left="598" w:right="617" w:firstLine="0"/>
        <w:jc w:val="center"/>
        <w:rPr>
          <w:b/>
          <w:sz w:val="16"/>
        </w:rPr>
      </w:pPr>
      <w:r>
        <w:rPr>
          <w:b/>
          <w:sz w:val="16"/>
        </w:rPr>
        <w:t>Figure 26.1: Design of the horizontal gel cassette.</w:t>
      </w:r>
    </w:p>
    <w:p>
      <w:pPr>
        <w:pStyle w:val="BodyText"/>
        <w:spacing w:before="10"/>
        <w:rPr>
          <w:b/>
        </w:rPr>
      </w:pPr>
    </w:p>
    <w:p>
      <w:pPr>
        <w:pStyle w:val="BodyText"/>
        <w:spacing w:line="360" w:lineRule="auto"/>
        <w:ind w:left="300" w:right="317"/>
        <w:jc w:val="both"/>
      </w:pPr>
      <w:r>
        <w:rPr>
          <w:b/>
        </w:rPr>
        <w:t>Sample preparation-</w:t>
      </w:r>
      <w:r>
        <w:rPr/>
        <w:t>Protein samples are mixed with 5x loading dye, containing 40% sucrose, 10% bromophenol blue (BPB), and 10% methylene blue (MB). BPB is an anionic dye and used to monitor mobility of proteins on the anodic side whereas MB is a cationic dye to track the movement on the other side (cathode) of the</w:t>
      </w:r>
      <w:r>
        <w:rPr>
          <w:spacing w:val="-10"/>
        </w:rPr>
        <w:t> </w:t>
      </w:r>
      <w:r>
        <w:rPr/>
        <w:t>gel.</w:t>
      </w:r>
    </w:p>
    <w:p>
      <w:pPr>
        <w:spacing w:after="0" w:line="360" w:lineRule="auto"/>
        <w:jc w:val="both"/>
        <w:sectPr>
          <w:pgSz w:w="11910" w:h="16840"/>
          <w:pgMar w:header="722" w:footer="748" w:top="1300" w:bottom="940" w:left="1500" w:right="1480"/>
        </w:sectPr>
      </w:pPr>
    </w:p>
    <w:p>
      <w:pPr>
        <w:pStyle w:val="BodyText"/>
        <w:spacing w:line="360" w:lineRule="auto" w:before="119"/>
        <w:ind w:left="299" w:right="315"/>
        <w:jc w:val="both"/>
      </w:pPr>
      <w:r>
        <w:rPr>
          <w:b/>
        </w:rPr>
        <w:t>Electrophoresis of proteins in Horizontal Native PAGE</w:t>
      </w:r>
      <w:r>
        <w:rPr/>
        <w:t>- Once the stacking gel is polymerized, comb, binder clips and foam pads are removed and wells are washed with water or 1x native Tris-Glycine running buffer (pH 8.3). Gel cassettes is placed in the horizontal direction in the electrode chambers. The chamber is filled with chilled 1x native Tris-glycine running buffer to the level just enough to reach up-to glass plate level. Load the sample (up-to 20µl) into the wells and electrophoresis is performed on constant 100V in a cold</w:t>
      </w:r>
      <w:r>
        <w:rPr>
          <w:spacing w:val="-1"/>
        </w:rPr>
        <w:t> </w:t>
      </w:r>
      <w:r>
        <w:rPr/>
        <w:t>room.</w:t>
      </w:r>
    </w:p>
    <w:p>
      <w:pPr>
        <w:pStyle w:val="BodyText"/>
        <w:spacing w:line="360" w:lineRule="auto" w:before="201"/>
        <w:ind w:left="299" w:right="315"/>
        <w:jc w:val="both"/>
      </w:pPr>
      <w:r>
        <w:rPr>
          <w:b/>
        </w:rPr>
        <w:t>Staining and destaining of the horizontal native gel- </w:t>
      </w:r>
      <w:r>
        <w:rPr/>
        <w:t>After electrophoresis is over, gel is removed from the cassette with the help of scalpel and stained with coomassie brilliant blue. The whole process of staining and destaining of gel completes in less than 3 hrs. A representative protein profile is given in Figure 26.2.</w:t>
      </w:r>
    </w:p>
    <w:p>
      <w:pPr>
        <w:pStyle w:val="BodyText"/>
        <w:spacing w:before="6"/>
        <w:rPr>
          <w:sz w:val="14"/>
        </w:rPr>
      </w:pPr>
      <w:r>
        <w:rPr/>
        <w:drawing>
          <wp:anchor distT="0" distB="0" distL="0" distR="0" allowOverlap="1" layoutInCell="1" locked="0" behindDoc="0" simplePos="0" relativeHeight="300">
            <wp:simplePos x="0" y="0"/>
            <wp:positionH relativeFrom="page">
              <wp:posOffset>1180962</wp:posOffset>
            </wp:positionH>
            <wp:positionV relativeFrom="paragraph">
              <wp:posOffset>130808</wp:posOffset>
            </wp:positionV>
            <wp:extent cx="5211177" cy="2377440"/>
            <wp:effectExtent l="0" t="0" r="0" b="0"/>
            <wp:wrapTopAndBottom/>
            <wp:docPr id="295" name="image152.png"/>
            <wp:cNvGraphicFramePr>
              <a:graphicFrameLocks noChangeAspect="1"/>
            </wp:cNvGraphicFramePr>
            <a:graphic>
              <a:graphicData uri="http://schemas.openxmlformats.org/drawingml/2006/picture">
                <pic:pic>
                  <pic:nvPicPr>
                    <pic:cNvPr id="296" name="image152.png"/>
                    <pic:cNvPicPr/>
                  </pic:nvPicPr>
                  <pic:blipFill>
                    <a:blip r:embed="rId164" cstate="print"/>
                    <a:stretch>
                      <a:fillRect/>
                    </a:stretch>
                  </pic:blipFill>
                  <pic:spPr>
                    <a:xfrm>
                      <a:off x="0" y="0"/>
                      <a:ext cx="5211177" cy="2377440"/>
                    </a:xfrm>
                    <a:prstGeom prst="rect">
                      <a:avLst/>
                    </a:prstGeom>
                  </pic:spPr>
                </pic:pic>
              </a:graphicData>
            </a:graphic>
          </wp:anchor>
        </w:drawing>
      </w:r>
    </w:p>
    <w:p>
      <w:pPr>
        <w:pStyle w:val="BodyText"/>
        <w:spacing w:before="1"/>
        <w:rPr>
          <w:sz w:val="26"/>
        </w:rPr>
      </w:pPr>
    </w:p>
    <w:p>
      <w:pPr>
        <w:spacing w:before="1"/>
        <w:ind w:left="601" w:right="617" w:firstLine="0"/>
        <w:jc w:val="center"/>
        <w:rPr>
          <w:b/>
          <w:sz w:val="16"/>
        </w:rPr>
      </w:pPr>
      <w:r>
        <w:rPr>
          <w:b/>
          <w:sz w:val="16"/>
        </w:rPr>
        <w:t>Figure 26.2: Profile of protein sample run in the native horizontal PAGE.</w:t>
      </w:r>
    </w:p>
    <w:p>
      <w:pPr>
        <w:pStyle w:val="BodyText"/>
        <w:spacing w:before="3"/>
        <w:rPr>
          <w:b/>
          <w:sz w:val="25"/>
        </w:rPr>
      </w:pPr>
    </w:p>
    <w:p>
      <w:pPr>
        <w:pStyle w:val="Heading4"/>
      </w:pPr>
      <w:r>
        <w:rPr/>
        <w:t>Advantages of the native horizontal PAGE</w:t>
      </w:r>
    </w:p>
    <w:p>
      <w:pPr>
        <w:pStyle w:val="BodyText"/>
        <w:rPr>
          <w:b/>
          <w:sz w:val="29"/>
        </w:rPr>
      </w:pPr>
    </w:p>
    <w:p>
      <w:pPr>
        <w:pStyle w:val="ListParagraph"/>
        <w:numPr>
          <w:ilvl w:val="0"/>
          <w:numId w:val="27"/>
        </w:numPr>
        <w:tabs>
          <w:tab w:pos="552" w:val="left" w:leader="none"/>
        </w:tabs>
        <w:spacing w:line="360" w:lineRule="auto" w:before="0" w:after="0"/>
        <w:ind w:left="299" w:right="320" w:firstLine="0"/>
        <w:jc w:val="left"/>
        <w:rPr>
          <w:sz w:val="24"/>
        </w:rPr>
      </w:pPr>
      <w:r>
        <w:rPr>
          <w:sz w:val="24"/>
        </w:rPr>
        <w:t>The horizontal PAGE can be used in conjugation with SDS-PAGE to separate and analyze complex biological</w:t>
      </w:r>
      <w:r>
        <w:rPr>
          <w:spacing w:val="2"/>
          <w:sz w:val="24"/>
        </w:rPr>
        <w:t> </w:t>
      </w:r>
      <w:r>
        <w:rPr>
          <w:sz w:val="24"/>
        </w:rPr>
        <w:t>samples.</w:t>
      </w:r>
    </w:p>
    <w:p>
      <w:pPr>
        <w:pStyle w:val="ListParagraph"/>
        <w:numPr>
          <w:ilvl w:val="0"/>
          <w:numId w:val="27"/>
        </w:numPr>
        <w:tabs>
          <w:tab w:pos="540" w:val="left" w:leader="none"/>
        </w:tabs>
        <w:spacing w:line="240" w:lineRule="auto" w:before="200" w:after="0"/>
        <w:ind w:left="540" w:right="0" w:hanging="241"/>
        <w:jc w:val="left"/>
        <w:rPr>
          <w:sz w:val="24"/>
        </w:rPr>
      </w:pPr>
      <w:r>
        <w:rPr>
          <w:sz w:val="24"/>
        </w:rPr>
        <w:t>User friendly and no specialized</w:t>
      </w:r>
      <w:r>
        <w:rPr>
          <w:spacing w:val="-5"/>
          <w:sz w:val="24"/>
        </w:rPr>
        <w:t> </w:t>
      </w:r>
      <w:r>
        <w:rPr>
          <w:sz w:val="24"/>
        </w:rPr>
        <w:t>equipment.</w:t>
      </w:r>
    </w:p>
    <w:p>
      <w:pPr>
        <w:pStyle w:val="BodyText"/>
        <w:spacing w:before="4"/>
        <w:rPr>
          <w:sz w:val="29"/>
        </w:rPr>
      </w:pPr>
    </w:p>
    <w:p>
      <w:pPr>
        <w:pStyle w:val="ListParagraph"/>
        <w:numPr>
          <w:ilvl w:val="0"/>
          <w:numId w:val="27"/>
        </w:numPr>
        <w:tabs>
          <w:tab w:pos="608" w:val="left" w:leader="none"/>
        </w:tabs>
        <w:spacing w:line="360" w:lineRule="auto" w:before="0" w:after="0"/>
        <w:ind w:left="299" w:right="316" w:firstLine="0"/>
        <w:jc w:val="left"/>
        <w:rPr>
          <w:sz w:val="24"/>
        </w:rPr>
      </w:pPr>
      <w:r>
        <w:rPr>
          <w:sz w:val="24"/>
        </w:rPr>
        <w:t>Native preparative gel to purify proteins in bulk for activity assay, antibody development</w:t>
      </w:r>
      <w:r>
        <w:rPr>
          <w:spacing w:val="-1"/>
          <w:sz w:val="24"/>
        </w:rPr>
        <w:t> </w:t>
      </w:r>
      <w:r>
        <w:rPr>
          <w:sz w:val="24"/>
        </w:rPr>
        <w:t>etc.</w:t>
      </w:r>
    </w:p>
    <w:p>
      <w:pPr>
        <w:pStyle w:val="ListParagraph"/>
        <w:numPr>
          <w:ilvl w:val="0"/>
          <w:numId w:val="27"/>
        </w:numPr>
        <w:tabs>
          <w:tab w:pos="540" w:val="left" w:leader="none"/>
        </w:tabs>
        <w:spacing w:line="360" w:lineRule="auto" w:before="200" w:after="0"/>
        <w:ind w:left="299" w:right="321" w:firstLine="0"/>
        <w:jc w:val="left"/>
        <w:rPr>
          <w:sz w:val="24"/>
        </w:rPr>
      </w:pPr>
      <w:r>
        <w:rPr>
          <w:sz w:val="24"/>
        </w:rPr>
        <w:t>More-over, our design doesn’t need any specialized fabrication and it allows user to cast stacking and resolving gel</w:t>
      </w:r>
      <w:r>
        <w:rPr>
          <w:spacing w:val="-4"/>
          <w:sz w:val="24"/>
        </w:rPr>
        <w:t> </w:t>
      </w:r>
      <w:r>
        <w:rPr>
          <w:sz w:val="24"/>
        </w:rPr>
        <w:t>together.</w:t>
      </w:r>
    </w:p>
    <w:p>
      <w:pPr>
        <w:spacing w:after="0" w:line="360" w:lineRule="auto"/>
        <w:jc w:val="left"/>
        <w:rPr>
          <w:sz w:val="24"/>
        </w:rPr>
        <w:sectPr>
          <w:pgSz w:w="11910" w:h="16840"/>
          <w:pgMar w:header="722" w:footer="748" w:top="1300" w:bottom="940" w:left="1500" w:right="1480"/>
        </w:sectPr>
      </w:pPr>
    </w:p>
    <w:p>
      <w:pPr>
        <w:pStyle w:val="BodyText"/>
        <w:spacing w:line="360" w:lineRule="auto" w:before="124"/>
        <w:ind w:left="300" w:right="316"/>
        <w:jc w:val="both"/>
      </w:pPr>
      <w:r>
        <w:rPr>
          <w:b/>
        </w:rPr>
        <w:t>A native horizontal gel electrophoresis in conjugation with SDS-PAGE to resolve complex biological samples. </w:t>
      </w:r>
      <w:r>
        <w:rPr/>
        <w:t>Bacterial lysate is prepared and resolved on the native horizontal PAGE until dye reaches to the end of gel (Figure 26.3). Sample strip from the native PAGE is cut with the help of a sharp razor and soaked into de-naturation buffer (100mM Tris pH 8.8, 3% SDS, 5mM ß-mercaptomethanol, 1mM EDTA) at 60°C for 2 hrs. The stripe from the native horizontal PAGE is placed on the top of 12% resolving gel. The gap between resolving gel and sample stripe is filled with 5% stacking gel. Once the stacking gel is polymerized, SDS-PAGE is allowed to run at constant voltage (initially 100V and then after wards at higher voltage) up-to the end of the gel. Gel is removed from the glass plates and developed by coomassie staining (Figure 26.3).</w:t>
      </w:r>
    </w:p>
    <w:p>
      <w:pPr>
        <w:pStyle w:val="BodyText"/>
        <w:spacing w:before="2"/>
        <w:rPr>
          <w:sz w:val="14"/>
        </w:rPr>
      </w:pPr>
      <w:r>
        <w:rPr/>
        <w:drawing>
          <wp:anchor distT="0" distB="0" distL="0" distR="0" allowOverlap="1" layoutInCell="1" locked="0" behindDoc="0" simplePos="0" relativeHeight="301">
            <wp:simplePos x="0" y="0"/>
            <wp:positionH relativeFrom="page">
              <wp:posOffset>1200964</wp:posOffset>
            </wp:positionH>
            <wp:positionV relativeFrom="paragraph">
              <wp:posOffset>128319</wp:posOffset>
            </wp:positionV>
            <wp:extent cx="5164997" cy="3590544"/>
            <wp:effectExtent l="0" t="0" r="0" b="0"/>
            <wp:wrapTopAndBottom/>
            <wp:docPr id="297" name="image153.png"/>
            <wp:cNvGraphicFramePr>
              <a:graphicFrameLocks noChangeAspect="1"/>
            </wp:cNvGraphicFramePr>
            <a:graphic>
              <a:graphicData uri="http://schemas.openxmlformats.org/drawingml/2006/picture">
                <pic:pic>
                  <pic:nvPicPr>
                    <pic:cNvPr id="298" name="image153.png"/>
                    <pic:cNvPicPr/>
                  </pic:nvPicPr>
                  <pic:blipFill>
                    <a:blip r:embed="rId165" cstate="print"/>
                    <a:stretch>
                      <a:fillRect/>
                    </a:stretch>
                  </pic:blipFill>
                  <pic:spPr>
                    <a:xfrm>
                      <a:off x="0" y="0"/>
                      <a:ext cx="5164997" cy="3590544"/>
                    </a:xfrm>
                    <a:prstGeom prst="rect">
                      <a:avLst/>
                    </a:prstGeom>
                  </pic:spPr>
                </pic:pic>
              </a:graphicData>
            </a:graphic>
          </wp:anchor>
        </w:drawing>
      </w:r>
    </w:p>
    <w:p>
      <w:pPr>
        <w:pStyle w:val="BodyText"/>
        <w:rPr>
          <w:sz w:val="26"/>
        </w:rPr>
      </w:pPr>
    </w:p>
    <w:p>
      <w:pPr>
        <w:spacing w:before="0"/>
        <w:ind w:left="300" w:right="316" w:firstLine="0"/>
        <w:jc w:val="both"/>
        <w:rPr>
          <w:b/>
          <w:sz w:val="16"/>
        </w:rPr>
      </w:pPr>
      <w:r>
        <w:rPr>
          <w:b/>
          <w:sz w:val="16"/>
        </w:rPr>
        <w:t>Figure 26.3: A 2-D gel profile of the bacterial lysate using native horizontal PAGE in Ist dimension and SDS-PAGE in the 2</w:t>
      </w:r>
      <w:r>
        <w:rPr>
          <w:b/>
          <w:sz w:val="16"/>
          <w:vertAlign w:val="superscript"/>
        </w:rPr>
        <w:t>nd</w:t>
      </w:r>
      <w:r>
        <w:rPr>
          <w:b/>
          <w:sz w:val="16"/>
          <w:vertAlign w:val="baseline"/>
        </w:rPr>
        <w:t> dimension.</w:t>
      </w:r>
    </w:p>
    <w:p>
      <w:pPr>
        <w:spacing w:after="0"/>
        <w:jc w:val="both"/>
        <w:rPr>
          <w:sz w:val="16"/>
        </w:rPr>
        <w:sectPr>
          <w:pgSz w:w="11910" w:h="16840"/>
          <w:pgMar w:header="722" w:footer="748" w:top="1300" w:bottom="940" w:left="1500" w:right="1480"/>
        </w:sectPr>
      </w:pPr>
    </w:p>
    <w:p>
      <w:pPr>
        <w:pStyle w:val="Heading2"/>
      </w:pPr>
      <w:r>
        <w:rPr/>
        <w:t>Lecture 27 Application of High Resolution PAGE</w:t>
      </w:r>
    </w:p>
    <w:p>
      <w:pPr>
        <w:pStyle w:val="BodyText"/>
        <w:spacing w:line="360" w:lineRule="auto" w:before="251"/>
        <w:ind w:left="300" w:right="315"/>
        <w:jc w:val="both"/>
      </w:pPr>
      <w:r>
        <w:rPr>
          <w:b/>
        </w:rPr>
        <w:t>Introduction: </w:t>
      </w:r>
      <w:r>
        <w:rPr/>
        <w:t>Protein and DNA are polymeric molecules made up of the monomeric constituent. DNA is made up of 4 different types of nucleotide, A, T, G and C where as protein is made up 20 amino acids. Information present on the DNA is in the form of combination of these 4 nucleotides and responsible for phenotypic changes in an organism. After generation of recombinant DNA, it is also important to confirm its nucleotide sequence before further manipulation in the down-stream processing.</w:t>
      </w:r>
    </w:p>
    <w:p>
      <w:pPr>
        <w:pStyle w:val="BodyText"/>
        <w:spacing w:line="276" w:lineRule="auto" w:before="200"/>
        <w:ind w:left="299" w:right="316"/>
        <w:jc w:val="both"/>
      </w:pPr>
      <w:r>
        <w:rPr>
          <w:b/>
        </w:rPr>
        <w:t>DNA sequencing-</w:t>
      </w:r>
      <w:r>
        <w:rPr/>
        <w:t>Historically there are two methods of DNA sequencing with a similar principle of breaking the DNA (chemical or enzymatic method) into the small fragment followed by separation and analyze them on a high resolution electrophoresis</w:t>
      </w:r>
      <w:r>
        <w:rPr>
          <w:spacing w:val="-1"/>
        </w:rPr>
        <w:t> </w:t>
      </w:r>
      <w:r>
        <w:rPr/>
        <w:t>gel.</w:t>
      </w:r>
    </w:p>
    <w:p>
      <w:pPr>
        <w:pStyle w:val="BodyText"/>
        <w:spacing w:line="360" w:lineRule="auto" w:before="199"/>
        <w:ind w:left="299" w:right="314"/>
        <w:jc w:val="both"/>
      </w:pPr>
      <w:r>
        <w:rPr>
          <w:b/>
        </w:rPr>
        <w:t>Di-Deoxy Chain termination or Sanger Methods: </w:t>
      </w:r>
      <w:r>
        <w:rPr/>
        <w:t>This method is originally developed by Frederick Sanger in 1977. </w:t>
      </w:r>
      <w:r>
        <w:rPr>
          <w:spacing w:val="-3"/>
        </w:rPr>
        <w:t>In </w:t>
      </w:r>
      <w:r>
        <w:rPr/>
        <w:t>this method, a single stranded DNA is  used as a template to synthesize complementary copy with the help of polymerase and in the presence of nucleotides (Figure 27.1). The polymerization reaction contains a primer and nucleotides, 3 normal nucleotides and 2’3’-dideoxynucleotide triphosphate (ddNTPs). When DNA polymerase utilizes ddNTPs as nucleotide, it gets incorporated into the growing chain but chain elongation stops at ddNTPs due to absence of 3’- hydroxyl group. In the typical sequencing reactions, 4 different ddNTPs are taken into the 4 separate reactions and analyzed on high resolution polyacrylamide gel electrophoresis. The ratio of NTPs/ddNTPS is adjusted so that chain termination occurs at each position of the base in the</w:t>
      </w:r>
      <w:r>
        <w:rPr>
          <w:spacing w:val="-2"/>
        </w:rPr>
        <w:t> </w:t>
      </w:r>
      <w:r>
        <w:rPr/>
        <w:t>template.</w:t>
      </w:r>
    </w:p>
    <w:p>
      <w:pPr>
        <w:spacing w:line="360" w:lineRule="auto" w:before="201"/>
        <w:ind w:left="299" w:right="318" w:firstLine="0"/>
        <w:jc w:val="both"/>
        <w:rPr>
          <w:sz w:val="24"/>
        </w:rPr>
      </w:pPr>
      <w:r>
        <w:rPr>
          <w:b/>
          <w:sz w:val="24"/>
        </w:rPr>
        <w:t>Protocol for Di-deoxy sequencing- </w:t>
      </w:r>
      <w:r>
        <w:rPr>
          <w:sz w:val="24"/>
        </w:rPr>
        <w:t>There are two protocols people adopt to  sequence DNA following di-deoxy chain termination method (Figure</w:t>
      </w:r>
      <w:r>
        <w:rPr>
          <w:spacing w:val="-10"/>
          <w:sz w:val="24"/>
        </w:rPr>
        <w:t> </w:t>
      </w:r>
      <w:r>
        <w:rPr>
          <w:sz w:val="24"/>
        </w:rPr>
        <w:t>27.2).</w:t>
      </w:r>
    </w:p>
    <w:p>
      <w:pPr>
        <w:spacing w:line="362" w:lineRule="auto" w:before="199"/>
        <w:ind w:left="299" w:right="318" w:firstLine="0"/>
        <w:jc w:val="both"/>
        <w:rPr>
          <w:b/>
          <w:sz w:val="24"/>
        </w:rPr>
      </w:pPr>
      <w:r>
        <w:rPr>
          <w:sz w:val="24"/>
        </w:rPr>
        <w:t>Original sanger protocol uses klenow fragment as polymerase for DNA synthesis where as termination protocol uses a T7 polymerase or sequenase. </w:t>
      </w:r>
      <w:r>
        <w:rPr>
          <w:b/>
          <w:sz w:val="24"/>
        </w:rPr>
        <w:t>The DNA sequencing by original sanger protocol has following steps:</w:t>
      </w:r>
    </w:p>
    <w:p>
      <w:pPr>
        <w:pStyle w:val="BodyText"/>
        <w:spacing w:before="192"/>
        <w:ind w:left="299"/>
        <w:jc w:val="both"/>
      </w:pPr>
      <w:r>
        <w:rPr>
          <w:b/>
        </w:rPr>
        <w:t>Step 1: </w:t>
      </w:r>
      <w:r>
        <w:rPr/>
        <w:t>A primer is added and annealed to the 3’ of the DNA template.</w:t>
      </w:r>
    </w:p>
    <w:p>
      <w:pPr>
        <w:pStyle w:val="BodyText"/>
        <w:spacing w:before="5"/>
        <w:rPr>
          <w:sz w:val="29"/>
        </w:rPr>
      </w:pPr>
    </w:p>
    <w:p>
      <w:pPr>
        <w:pStyle w:val="BodyText"/>
        <w:ind w:left="299"/>
        <w:jc w:val="both"/>
      </w:pPr>
      <w:r>
        <w:rPr>
          <w:b/>
        </w:rPr>
        <w:t>Step 2: </w:t>
      </w:r>
      <w:r>
        <w:rPr/>
        <w:t>The radiolabeled </w:t>
      </w:r>
      <w:r>
        <w:rPr>
          <w:vertAlign w:val="superscript"/>
        </w:rPr>
        <w:t>35</w:t>
      </w:r>
      <w:r>
        <w:rPr>
          <w:vertAlign w:val="baseline"/>
        </w:rPr>
        <w:t>S ATP to label the primer.</w:t>
      </w:r>
    </w:p>
    <w:p>
      <w:pPr>
        <w:pStyle w:val="BodyText"/>
        <w:spacing w:before="5"/>
        <w:rPr>
          <w:sz w:val="29"/>
        </w:rPr>
      </w:pPr>
    </w:p>
    <w:p>
      <w:pPr>
        <w:pStyle w:val="BodyText"/>
        <w:ind w:left="300"/>
        <w:jc w:val="both"/>
      </w:pPr>
      <w:r>
        <w:rPr>
          <w:b/>
        </w:rPr>
        <w:t>Step 3: </w:t>
      </w:r>
      <w:r>
        <w:rPr/>
        <w:t>The polymerease reaction is divided into 4 reactions.</w:t>
      </w:r>
    </w:p>
    <w:p>
      <w:pPr>
        <w:spacing w:after="0"/>
        <w:jc w:val="both"/>
        <w:sectPr>
          <w:pgSz w:w="11910" w:h="16840"/>
          <w:pgMar w:header="722" w:footer="748" w:top="1300" w:bottom="940" w:left="1500" w:right="1480"/>
        </w:sectPr>
      </w:pPr>
    </w:p>
    <w:p>
      <w:pPr>
        <w:pStyle w:val="BodyText"/>
        <w:spacing w:line="360" w:lineRule="auto" w:before="119"/>
        <w:ind w:left="300" w:right="320"/>
        <w:jc w:val="both"/>
      </w:pPr>
      <w:r>
        <w:rPr>
          <w:b/>
        </w:rPr>
        <w:t>Step 4: </w:t>
      </w:r>
      <w:r>
        <w:rPr/>
        <w:t>DNA synthesis continues until terminated by the incorporation of the specific ddNTPs (either A, T, G or C).</w:t>
      </w:r>
    </w:p>
    <w:p>
      <w:pPr>
        <w:pStyle w:val="BodyText"/>
        <w:rPr>
          <w:sz w:val="20"/>
        </w:rPr>
      </w:pPr>
    </w:p>
    <w:p>
      <w:pPr>
        <w:pStyle w:val="BodyText"/>
        <w:rPr>
          <w:sz w:val="20"/>
        </w:rPr>
      </w:pPr>
    </w:p>
    <w:p>
      <w:pPr>
        <w:pStyle w:val="BodyText"/>
        <w:spacing w:before="6"/>
        <w:rPr>
          <w:sz w:val="10"/>
        </w:rPr>
      </w:pPr>
      <w:r>
        <w:rPr/>
        <w:drawing>
          <wp:anchor distT="0" distB="0" distL="0" distR="0" allowOverlap="1" layoutInCell="1" locked="0" behindDoc="0" simplePos="0" relativeHeight="302">
            <wp:simplePos x="0" y="0"/>
            <wp:positionH relativeFrom="page">
              <wp:posOffset>1208002</wp:posOffset>
            </wp:positionH>
            <wp:positionV relativeFrom="paragraph">
              <wp:posOffset>102184</wp:posOffset>
            </wp:positionV>
            <wp:extent cx="5168390" cy="3182112"/>
            <wp:effectExtent l="0" t="0" r="0" b="0"/>
            <wp:wrapTopAndBottom/>
            <wp:docPr id="299" name="image154.png"/>
            <wp:cNvGraphicFramePr>
              <a:graphicFrameLocks noChangeAspect="1"/>
            </wp:cNvGraphicFramePr>
            <a:graphic>
              <a:graphicData uri="http://schemas.openxmlformats.org/drawingml/2006/picture">
                <pic:pic>
                  <pic:nvPicPr>
                    <pic:cNvPr id="300" name="image154.png"/>
                    <pic:cNvPicPr/>
                  </pic:nvPicPr>
                  <pic:blipFill>
                    <a:blip r:embed="rId166" cstate="print"/>
                    <a:stretch>
                      <a:fillRect/>
                    </a:stretch>
                  </pic:blipFill>
                  <pic:spPr>
                    <a:xfrm>
                      <a:off x="0" y="0"/>
                      <a:ext cx="5168390" cy="3182112"/>
                    </a:xfrm>
                    <a:prstGeom prst="rect">
                      <a:avLst/>
                    </a:prstGeom>
                  </pic:spPr>
                </pic:pic>
              </a:graphicData>
            </a:graphic>
          </wp:anchor>
        </w:drawing>
      </w:r>
    </w:p>
    <w:p>
      <w:pPr>
        <w:pStyle w:val="BodyText"/>
        <w:spacing w:before="7"/>
        <w:rPr>
          <w:sz w:val="36"/>
        </w:rPr>
      </w:pPr>
    </w:p>
    <w:p>
      <w:pPr>
        <w:spacing w:before="0"/>
        <w:ind w:left="600" w:right="617" w:firstLine="0"/>
        <w:jc w:val="center"/>
        <w:rPr>
          <w:b/>
          <w:sz w:val="16"/>
        </w:rPr>
      </w:pPr>
      <w:r>
        <w:rPr>
          <w:b/>
          <w:sz w:val="16"/>
        </w:rPr>
        <w:t>Figure 27.1: Principle of Di-Deoxy Method.</w:t>
      </w:r>
    </w:p>
    <w:p>
      <w:pPr>
        <w:pStyle w:val="BodyText"/>
        <w:rPr>
          <w:b/>
          <w:sz w:val="18"/>
        </w:rPr>
      </w:pPr>
    </w:p>
    <w:p>
      <w:pPr>
        <w:pStyle w:val="BodyText"/>
        <w:spacing w:before="9"/>
        <w:rPr>
          <w:b/>
          <w:sz w:val="18"/>
        </w:rPr>
      </w:pPr>
    </w:p>
    <w:p>
      <w:pPr>
        <w:pStyle w:val="BodyText"/>
        <w:spacing w:line="360" w:lineRule="auto"/>
        <w:ind w:left="300" w:right="316"/>
        <w:jc w:val="both"/>
      </w:pPr>
      <w:r>
        <w:rPr>
          <w:b/>
        </w:rPr>
        <w:t>Step 5: </w:t>
      </w:r>
      <w:r>
        <w:rPr/>
        <w:t>A chase of polymerization reaction is performed in the presence of high concentration of NTPs to extend all non-terminated sequences into high molecular weight DNA. These high molecular sequences will not enter into the sequencing gel.</w:t>
      </w:r>
    </w:p>
    <w:p>
      <w:pPr>
        <w:pStyle w:val="Heading4"/>
        <w:spacing w:line="360" w:lineRule="auto" w:before="203"/>
        <w:ind w:right="318"/>
      </w:pPr>
      <w:r>
        <w:rPr/>
        <w:t>The different steps in labeling/termination protocol differ from sanger protocol after step-1 and it has following steps:</w:t>
      </w:r>
    </w:p>
    <w:p>
      <w:pPr>
        <w:pStyle w:val="BodyText"/>
        <w:spacing w:line="360" w:lineRule="auto" w:before="197"/>
        <w:ind w:left="300" w:right="321"/>
        <w:jc w:val="both"/>
      </w:pPr>
      <w:r>
        <w:rPr>
          <w:b/>
        </w:rPr>
        <w:t>Step 2: </w:t>
      </w:r>
      <w:r>
        <w:rPr/>
        <w:t>A limited amount of NTPs are added along with the one of the radiolabeled nucleotide to label the DNA through the length.</w:t>
      </w:r>
    </w:p>
    <w:p>
      <w:pPr>
        <w:pStyle w:val="BodyText"/>
        <w:spacing w:before="199"/>
        <w:ind w:left="300"/>
        <w:jc w:val="both"/>
      </w:pPr>
      <w:r>
        <w:rPr>
          <w:b/>
        </w:rPr>
        <w:t>Step 3: </w:t>
      </w:r>
      <w:r>
        <w:rPr/>
        <w:t>The polymerease reaction is divided into 4 reactions.</w:t>
      </w:r>
    </w:p>
    <w:p>
      <w:pPr>
        <w:pStyle w:val="BodyText"/>
        <w:spacing w:before="5"/>
        <w:rPr>
          <w:sz w:val="29"/>
        </w:rPr>
      </w:pPr>
    </w:p>
    <w:p>
      <w:pPr>
        <w:pStyle w:val="BodyText"/>
        <w:spacing w:line="360" w:lineRule="auto"/>
        <w:ind w:left="300" w:right="317"/>
        <w:jc w:val="both"/>
      </w:pPr>
      <w:r>
        <w:rPr>
          <w:b/>
        </w:rPr>
        <w:t>Step 4: </w:t>
      </w:r>
      <w:r>
        <w:rPr/>
        <w:t>The polymerase reaction continues with 4 nucleotide and one ddNTPs. Synthesis is terminated at the specific ddNTPs (either A, G. C. T) to give DNA fragment of different length.</w:t>
      </w:r>
    </w:p>
    <w:p>
      <w:pPr>
        <w:spacing w:after="0" w:line="360" w:lineRule="auto"/>
        <w:jc w:val="both"/>
        <w:sectPr>
          <w:pgSz w:w="11910" w:h="16840"/>
          <w:pgMar w:header="722" w:footer="748" w:top="1300" w:bottom="940" w:left="1500" w:right="1480"/>
        </w:sectPr>
      </w:pPr>
    </w:p>
    <w:p>
      <w:pPr>
        <w:pStyle w:val="BodyText"/>
        <w:spacing w:before="11"/>
        <w:rPr>
          <w:sz w:val="10"/>
        </w:rPr>
      </w:pPr>
    </w:p>
    <w:p>
      <w:pPr>
        <w:pStyle w:val="BodyText"/>
        <w:ind w:left="620"/>
        <w:rPr>
          <w:sz w:val="20"/>
        </w:rPr>
      </w:pPr>
      <w:r>
        <w:rPr>
          <w:sz w:val="20"/>
        </w:rPr>
        <w:drawing>
          <wp:inline distT="0" distB="0" distL="0" distR="0">
            <wp:extent cx="4870054" cy="6187440"/>
            <wp:effectExtent l="0" t="0" r="0" b="0"/>
            <wp:docPr id="301" name="image155.png"/>
            <wp:cNvGraphicFramePr>
              <a:graphicFrameLocks noChangeAspect="1"/>
            </wp:cNvGraphicFramePr>
            <a:graphic>
              <a:graphicData uri="http://schemas.openxmlformats.org/drawingml/2006/picture">
                <pic:pic>
                  <pic:nvPicPr>
                    <pic:cNvPr id="302" name="image155.png"/>
                    <pic:cNvPicPr/>
                  </pic:nvPicPr>
                  <pic:blipFill>
                    <a:blip r:embed="rId167" cstate="print"/>
                    <a:stretch>
                      <a:fillRect/>
                    </a:stretch>
                  </pic:blipFill>
                  <pic:spPr>
                    <a:xfrm>
                      <a:off x="0" y="0"/>
                      <a:ext cx="4870054" cy="6187440"/>
                    </a:xfrm>
                    <a:prstGeom prst="rect">
                      <a:avLst/>
                    </a:prstGeom>
                  </pic:spPr>
                </pic:pic>
              </a:graphicData>
            </a:graphic>
          </wp:inline>
        </w:drawing>
      </w:r>
      <w:r>
        <w:rPr>
          <w:sz w:val="20"/>
        </w:rPr>
      </w:r>
    </w:p>
    <w:p>
      <w:pPr>
        <w:pStyle w:val="BodyText"/>
        <w:rPr>
          <w:sz w:val="20"/>
        </w:rPr>
      </w:pPr>
    </w:p>
    <w:p>
      <w:pPr>
        <w:pStyle w:val="BodyText"/>
        <w:spacing w:before="3"/>
        <w:rPr>
          <w:sz w:val="19"/>
        </w:rPr>
      </w:pPr>
    </w:p>
    <w:p>
      <w:pPr>
        <w:spacing w:before="0"/>
        <w:ind w:left="600" w:right="617" w:firstLine="0"/>
        <w:jc w:val="center"/>
        <w:rPr>
          <w:b/>
          <w:sz w:val="16"/>
        </w:rPr>
      </w:pPr>
      <w:r>
        <w:rPr>
          <w:b/>
          <w:sz w:val="16"/>
        </w:rPr>
        <w:t>Figure 27.2: Different Steps in Di-deoxy Method</w:t>
      </w:r>
    </w:p>
    <w:p>
      <w:pPr>
        <w:pStyle w:val="BodyText"/>
        <w:rPr>
          <w:b/>
          <w:sz w:val="18"/>
        </w:rPr>
      </w:pPr>
    </w:p>
    <w:p>
      <w:pPr>
        <w:pStyle w:val="BodyText"/>
        <w:spacing w:before="7"/>
        <w:rPr>
          <w:b/>
          <w:sz w:val="18"/>
        </w:rPr>
      </w:pPr>
    </w:p>
    <w:p>
      <w:pPr>
        <w:pStyle w:val="BodyText"/>
        <w:spacing w:line="360" w:lineRule="auto"/>
        <w:ind w:left="300" w:right="319"/>
        <w:jc w:val="both"/>
      </w:pPr>
      <w:r>
        <w:rPr/>
        <w:t>The polymerization reaction is analyzed on a high resolution polyacrylamide gel. The use of sequenase allow to perform sequencing of long DNA stretches where as original sanger method is more appropriate for short length</w:t>
      </w:r>
      <w:r>
        <w:rPr>
          <w:spacing w:val="-5"/>
        </w:rPr>
        <w:t> </w:t>
      </w:r>
      <w:r>
        <w:rPr/>
        <w:t>DNA.</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5"/>
        <w:jc w:val="both"/>
      </w:pPr>
      <w:r>
        <w:rPr>
          <w:b/>
        </w:rPr>
        <w:t>Maxam-Gilbert method: </w:t>
      </w:r>
      <w:r>
        <w:rPr/>
        <w:t>DNA cloning and polymerization reactions made the sanger method less popular than maxam-gilbert DNA sequencing method. This method was discovered by Allan Maxam and Walter Gilbert in 1977 which is based on chemical modification and subsequent cleavage. In this method, a 3’ or 5’ radiolabeled DNA is treated with a base specific chemicals which randomly cleaves the DNA at their specific target nucleotide. These fragments are analyzed on a high resolution polyacrylamide gel and a autoradiogram is developed (Figure 27.3). The fragment with terminal radiolabel appears as band in the gel. The chemical reactions are performed in two</w:t>
      </w:r>
      <w:r>
        <w:rPr>
          <w:spacing w:val="-2"/>
        </w:rPr>
        <w:t> </w:t>
      </w:r>
      <w:r>
        <w:rPr/>
        <w:t>steps;</w:t>
      </w:r>
    </w:p>
    <w:p>
      <w:pPr>
        <w:spacing w:line="360" w:lineRule="auto" w:before="201"/>
        <w:ind w:left="300" w:right="319" w:firstLine="0"/>
        <w:jc w:val="both"/>
        <w:rPr>
          <w:sz w:val="24"/>
        </w:rPr>
      </w:pPr>
      <w:r>
        <w:rPr>
          <w:b/>
          <w:sz w:val="24"/>
        </w:rPr>
        <w:t>Base Specific Reaction: </w:t>
      </w:r>
      <w:r>
        <w:rPr>
          <w:sz w:val="24"/>
        </w:rPr>
        <w:t>Different base specific reagents are used to modify the target nucleotide.</w:t>
      </w:r>
    </w:p>
    <w:p>
      <w:pPr>
        <w:pStyle w:val="BodyText"/>
        <w:spacing w:line="360" w:lineRule="auto" w:before="199"/>
        <w:ind w:left="300" w:right="317"/>
        <w:jc w:val="both"/>
      </w:pPr>
      <w:r>
        <w:rPr/>
        <w:t>Reaction 1: Dimethylsulfate (DMS) modifies the </w:t>
      </w:r>
      <w:r>
        <w:rPr>
          <w:b/>
        </w:rPr>
        <w:t>N7 </w:t>
      </w:r>
      <w:r>
        <w:rPr/>
        <w:t>of guanine and then opens the ring between </w:t>
      </w:r>
      <w:r>
        <w:rPr>
          <w:b/>
        </w:rPr>
        <w:t>C8 </w:t>
      </w:r>
      <w:r>
        <w:rPr/>
        <w:t>and </w:t>
      </w:r>
      <w:r>
        <w:rPr>
          <w:b/>
        </w:rPr>
        <w:t>N9</w:t>
      </w:r>
      <w:r>
        <w:rPr/>
        <w:t>.</w:t>
      </w:r>
    </w:p>
    <w:p>
      <w:pPr>
        <w:pStyle w:val="BodyText"/>
        <w:spacing w:line="360" w:lineRule="auto" w:before="200"/>
        <w:ind w:left="299" w:right="317"/>
        <w:jc w:val="both"/>
      </w:pPr>
      <w:r>
        <w:rPr/>
        <w:t>Reaction 2: Formic acid acts on purine nucleotide </w:t>
      </w:r>
      <w:r>
        <w:rPr>
          <w:b/>
        </w:rPr>
        <w:t>(G+A) </w:t>
      </w:r>
      <w:r>
        <w:rPr/>
        <w:t>by attacking on glycosidic bond.</w:t>
      </w:r>
    </w:p>
    <w:p>
      <w:pPr>
        <w:pStyle w:val="BodyText"/>
        <w:spacing w:before="201"/>
        <w:ind w:left="299"/>
        <w:jc w:val="both"/>
      </w:pPr>
      <w:r>
        <w:rPr/>
        <w:t>Reaction 3: Hydrazine breaks the ring of pyridine </w:t>
      </w:r>
      <w:r>
        <w:rPr>
          <w:b/>
        </w:rPr>
        <w:t>(T+C)</w:t>
      </w:r>
      <w:r>
        <w:rPr/>
        <w:t>.</w:t>
      </w:r>
    </w:p>
    <w:p>
      <w:pPr>
        <w:pStyle w:val="BodyText"/>
        <w:spacing w:before="3"/>
        <w:rPr>
          <w:sz w:val="29"/>
        </w:rPr>
      </w:pPr>
    </w:p>
    <w:p>
      <w:pPr>
        <w:pStyle w:val="BodyText"/>
        <w:ind w:left="299"/>
        <w:jc w:val="both"/>
      </w:pPr>
      <w:r>
        <w:rPr/>
        <w:t>Reaction 4: Where as in the presence of salt (NaCl), it breaks the ring of cytosine.</w:t>
      </w:r>
    </w:p>
    <w:p>
      <w:pPr>
        <w:pStyle w:val="BodyText"/>
        <w:spacing w:before="5"/>
        <w:rPr>
          <w:sz w:val="29"/>
        </w:rPr>
      </w:pPr>
    </w:p>
    <w:p>
      <w:pPr>
        <w:pStyle w:val="BodyText"/>
        <w:spacing w:line="360" w:lineRule="auto"/>
        <w:ind w:left="299" w:right="316"/>
        <w:jc w:val="both"/>
      </w:pPr>
      <w:r>
        <w:rPr>
          <w:b/>
        </w:rPr>
        <w:t>Cleavage reaction : </w:t>
      </w:r>
      <w:r>
        <w:rPr/>
        <w:t>After the base specific reactions, piperidine is added which will replace the modified base and catalyzes the cleavage of phsophodiester bond next to the modified nucleotide.</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0"/>
        <w:jc w:val="both"/>
      </w:pPr>
      <w:r>
        <w:rPr>
          <w:b/>
        </w:rPr>
        <w:t>Interpretation of the band in autoradiogram: </w:t>
      </w:r>
      <w:r>
        <w:rPr/>
        <w:t>The fragment in G lane is read as “G” where as fragment present in G+A but absent in G is read as “A”. Similarly fragment in C is read as “C” where as fragment present in T+C but absent in C is read as “T”. To get the DNA sequence, the band with the lowest molecular weight is read followed by next band in the four lane. For example in the given figure 27.3, in G lane the band is of lowest molecular weight followed by band in A lane</w:t>
      </w:r>
      <w:r>
        <w:rPr>
          <w:spacing w:val="-11"/>
        </w:rPr>
        <w:t> </w:t>
      </w:r>
      <w:r>
        <w:rPr/>
        <w:t>etc.</w:t>
      </w:r>
    </w:p>
    <w:p>
      <w:pPr>
        <w:pStyle w:val="BodyText"/>
        <w:spacing w:before="7"/>
        <w:rPr>
          <w:sz w:val="14"/>
        </w:rPr>
      </w:pPr>
      <w:r>
        <w:rPr/>
        <w:drawing>
          <wp:anchor distT="0" distB="0" distL="0" distR="0" allowOverlap="1" layoutInCell="1" locked="0" behindDoc="0" simplePos="0" relativeHeight="303">
            <wp:simplePos x="0" y="0"/>
            <wp:positionH relativeFrom="page">
              <wp:posOffset>1143576</wp:posOffset>
            </wp:positionH>
            <wp:positionV relativeFrom="paragraph">
              <wp:posOffset>131433</wp:posOffset>
            </wp:positionV>
            <wp:extent cx="5169781" cy="3090672"/>
            <wp:effectExtent l="0" t="0" r="0" b="0"/>
            <wp:wrapTopAndBottom/>
            <wp:docPr id="303" name="image156.png"/>
            <wp:cNvGraphicFramePr>
              <a:graphicFrameLocks noChangeAspect="1"/>
            </wp:cNvGraphicFramePr>
            <a:graphic>
              <a:graphicData uri="http://schemas.openxmlformats.org/drawingml/2006/picture">
                <pic:pic>
                  <pic:nvPicPr>
                    <pic:cNvPr id="304" name="image156.png"/>
                    <pic:cNvPicPr/>
                  </pic:nvPicPr>
                  <pic:blipFill>
                    <a:blip r:embed="rId168" cstate="print"/>
                    <a:stretch>
                      <a:fillRect/>
                    </a:stretch>
                  </pic:blipFill>
                  <pic:spPr>
                    <a:xfrm>
                      <a:off x="0" y="0"/>
                      <a:ext cx="5169781" cy="3090672"/>
                    </a:xfrm>
                    <a:prstGeom prst="rect">
                      <a:avLst/>
                    </a:prstGeom>
                  </pic:spPr>
                </pic:pic>
              </a:graphicData>
            </a:graphic>
          </wp:anchor>
        </w:drawing>
      </w:r>
    </w:p>
    <w:p>
      <w:pPr>
        <w:pStyle w:val="BodyText"/>
        <w:spacing w:before="10"/>
        <w:rPr>
          <w:sz w:val="25"/>
        </w:rPr>
      </w:pPr>
    </w:p>
    <w:p>
      <w:pPr>
        <w:spacing w:before="0"/>
        <w:ind w:left="600" w:right="617" w:firstLine="0"/>
        <w:jc w:val="center"/>
        <w:rPr>
          <w:b/>
          <w:sz w:val="16"/>
        </w:rPr>
      </w:pPr>
      <w:r>
        <w:rPr>
          <w:b/>
          <w:sz w:val="16"/>
        </w:rPr>
        <w:t>Figure 27.3: Different Steps in Maxam-Gilbert Method</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7"/>
        <w:jc w:val="both"/>
      </w:pPr>
      <w:r>
        <w:rPr>
          <w:b/>
        </w:rPr>
        <w:t>Next generation sequencing methods: </w:t>
      </w:r>
      <w:r>
        <w:rPr/>
        <w:t>With the advancement in cloning and requirement for cheap sequencing methodology, several next generation sequencing methods are developed. These have lower cost of sequencing as well increased the output by processing multiple sample at the same time. The next generation DNA sequencing technologies developed as follows-</w:t>
      </w:r>
    </w:p>
    <w:p>
      <w:pPr>
        <w:pStyle w:val="ListParagraph"/>
        <w:numPr>
          <w:ilvl w:val="1"/>
          <w:numId w:val="27"/>
        </w:numPr>
        <w:tabs>
          <w:tab w:pos="1019" w:val="left" w:leader="none"/>
          <w:tab w:pos="1020" w:val="left" w:leader="none"/>
        </w:tabs>
        <w:spacing w:line="240" w:lineRule="auto" w:before="200" w:after="0"/>
        <w:ind w:left="1020" w:right="0" w:hanging="360"/>
        <w:jc w:val="left"/>
        <w:rPr>
          <w:sz w:val="24"/>
        </w:rPr>
      </w:pPr>
      <w:bookmarkStart w:name=" Massively parallel signature sequencin" w:id="1"/>
      <w:bookmarkEnd w:id="1"/>
      <w:r>
        <w:rPr/>
      </w:r>
      <w:bookmarkStart w:name=" Massively parallel signature sequencin" w:id="2"/>
      <w:bookmarkEnd w:id="2"/>
      <w:r>
        <w:rPr>
          <w:sz w:val="24"/>
        </w:rPr>
        <w:t>M</w:t>
      </w:r>
      <w:r>
        <w:rPr>
          <w:sz w:val="24"/>
        </w:rPr>
        <w:t>assively parallel signature sequencing</w:t>
      </w:r>
      <w:r>
        <w:rPr>
          <w:spacing w:val="-10"/>
          <w:sz w:val="24"/>
        </w:rPr>
        <w:t> </w:t>
      </w:r>
      <w:r>
        <w:rPr>
          <w:sz w:val="24"/>
        </w:rPr>
        <w:t>(MPSS)</w:t>
      </w:r>
    </w:p>
    <w:p>
      <w:pPr>
        <w:pStyle w:val="ListParagraph"/>
        <w:numPr>
          <w:ilvl w:val="1"/>
          <w:numId w:val="27"/>
        </w:numPr>
        <w:tabs>
          <w:tab w:pos="1019" w:val="left" w:leader="none"/>
          <w:tab w:pos="1020" w:val="left" w:leader="none"/>
        </w:tabs>
        <w:spacing w:line="240" w:lineRule="auto" w:before="40" w:after="0"/>
        <w:ind w:left="1020" w:right="0" w:hanging="360"/>
        <w:jc w:val="left"/>
        <w:rPr>
          <w:sz w:val="24"/>
        </w:rPr>
      </w:pPr>
      <w:bookmarkStart w:name=" Polony sequencing" w:id="3"/>
      <w:bookmarkEnd w:id="3"/>
      <w:r>
        <w:rPr/>
      </w:r>
      <w:bookmarkStart w:name=" Polony sequencing" w:id="4"/>
      <w:bookmarkEnd w:id="4"/>
      <w:r>
        <w:rPr>
          <w:sz w:val="24"/>
        </w:rPr>
        <w:t>P</w:t>
      </w:r>
      <w:r>
        <w:rPr>
          <w:sz w:val="24"/>
        </w:rPr>
        <w:t>olony</w:t>
      </w:r>
      <w:r>
        <w:rPr>
          <w:spacing w:val="-8"/>
          <w:sz w:val="24"/>
        </w:rPr>
        <w:t> </w:t>
      </w:r>
      <w:r>
        <w:rPr>
          <w:sz w:val="24"/>
        </w:rPr>
        <w:t>sequencing</w:t>
      </w:r>
    </w:p>
    <w:p>
      <w:pPr>
        <w:pStyle w:val="ListParagraph"/>
        <w:numPr>
          <w:ilvl w:val="1"/>
          <w:numId w:val="27"/>
        </w:numPr>
        <w:tabs>
          <w:tab w:pos="1019" w:val="left" w:leader="none"/>
          <w:tab w:pos="1020" w:val="left" w:leader="none"/>
        </w:tabs>
        <w:spacing w:line="240" w:lineRule="auto" w:before="42" w:after="0"/>
        <w:ind w:left="1020" w:right="0" w:hanging="360"/>
        <w:jc w:val="left"/>
        <w:rPr>
          <w:sz w:val="24"/>
        </w:rPr>
      </w:pPr>
      <w:bookmarkStart w:name=" 454 pyrosequencing" w:id="5"/>
      <w:bookmarkEnd w:id="5"/>
      <w:r>
        <w:rPr/>
      </w:r>
      <w:bookmarkStart w:name=" 454 pyrosequencing" w:id="6"/>
      <w:bookmarkEnd w:id="6"/>
      <w:r>
        <w:rPr>
          <w:sz w:val="24"/>
        </w:rPr>
        <w:t>454</w:t>
      </w:r>
      <w:r>
        <w:rPr>
          <w:spacing w:val="-1"/>
          <w:sz w:val="24"/>
        </w:rPr>
        <w:t> </w:t>
      </w:r>
      <w:r>
        <w:rPr>
          <w:sz w:val="24"/>
        </w:rPr>
        <w:t>pyrosequencing</w:t>
      </w:r>
    </w:p>
    <w:p>
      <w:pPr>
        <w:pStyle w:val="ListParagraph"/>
        <w:numPr>
          <w:ilvl w:val="1"/>
          <w:numId w:val="27"/>
        </w:numPr>
        <w:tabs>
          <w:tab w:pos="1019" w:val="left" w:leader="none"/>
          <w:tab w:pos="1020" w:val="left" w:leader="none"/>
        </w:tabs>
        <w:spacing w:line="240" w:lineRule="auto" w:before="40" w:after="0"/>
        <w:ind w:left="1020" w:right="0" w:hanging="360"/>
        <w:jc w:val="left"/>
        <w:rPr>
          <w:sz w:val="24"/>
        </w:rPr>
      </w:pPr>
      <w:bookmarkStart w:name=" Illumina (Solexa) sequencing" w:id="7"/>
      <w:bookmarkEnd w:id="7"/>
      <w:r>
        <w:rPr/>
      </w:r>
      <w:bookmarkStart w:name=" Illumina (Solexa) sequencing" w:id="8"/>
      <w:bookmarkEnd w:id="8"/>
      <w:r>
        <w:rPr>
          <w:sz w:val="24"/>
        </w:rPr>
        <w:t>I</w:t>
      </w:r>
      <w:r>
        <w:rPr>
          <w:sz w:val="24"/>
        </w:rPr>
        <w:t>llumina (Solexa)</w:t>
      </w:r>
      <w:r>
        <w:rPr>
          <w:spacing w:val="-3"/>
          <w:sz w:val="24"/>
        </w:rPr>
        <w:t> </w:t>
      </w:r>
      <w:r>
        <w:rPr>
          <w:sz w:val="24"/>
        </w:rPr>
        <w:t>sequencing</w:t>
      </w:r>
    </w:p>
    <w:p>
      <w:pPr>
        <w:pStyle w:val="ListParagraph"/>
        <w:numPr>
          <w:ilvl w:val="1"/>
          <w:numId w:val="27"/>
        </w:numPr>
        <w:tabs>
          <w:tab w:pos="1019" w:val="left" w:leader="none"/>
          <w:tab w:pos="1020" w:val="left" w:leader="none"/>
        </w:tabs>
        <w:spacing w:line="240" w:lineRule="auto" w:before="39" w:after="0"/>
        <w:ind w:left="1020" w:right="0" w:hanging="360"/>
        <w:jc w:val="left"/>
        <w:rPr>
          <w:sz w:val="24"/>
        </w:rPr>
      </w:pPr>
      <w:bookmarkStart w:name=" SOLiD sequencing" w:id="9"/>
      <w:bookmarkEnd w:id="9"/>
      <w:r>
        <w:rPr/>
      </w:r>
      <w:bookmarkStart w:name=" SOLiD sequencing" w:id="10"/>
      <w:bookmarkEnd w:id="10"/>
      <w:r>
        <w:rPr>
          <w:sz w:val="24"/>
        </w:rPr>
        <w:t>S</w:t>
      </w:r>
      <w:r>
        <w:rPr>
          <w:sz w:val="24"/>
        </w:rPr>
        <w:t>OLiD</w:t>
      </w:r>
      <w:r>
        <w:rPr>
          <w:spacing w:val="-2"/>
          <w:sz w:val="24"/>
        </w:rPr>
        <w:t> </w:t>
      </w:r>
      <w:r>
        <w:rPr>
          <w:sz w:val="24"/>
        </w:rPr>
        <w:t>sequencing</w:t>
      </w:r>
    </w:p>
    <w:p>
      <w:pPr>
        <w:pStyle w:val="ListParagraph"/>
        <w:numPr>
          <w:ilvl w:val="1"/>
          <w:numId w:val="27"/>
        </w:numPr>
        <w:tabs>
          <w:tab w:pos="1019" w:val="left" w:leader="none"/>
          <w:tab w:pos="1020" w:val="left" w:leader="none"/>
        </w:tabs>
        <w:spacing w:line="240" w:lineRule="auto" w:before="42" w:after="0"/>
        <w:ind w:left="1020" w:right="0" w:hanging="360"/>
        <w:jc w:val="left"/>
        <w:rPr>
          <w:sz w:val="24"/>
        </w:rPr>
      </w:pPr>
      <w:bookmarkStart w:name=" Ion semiconductor sequencing" w:id="11"/>
      <w:bookmarkEnd w:id="11"/>
      <w:r>
        <w:rPr/>
      </w:r>
      <w:bookmarkStart w:name=" Ion semiconductor sequencing" w:id="12"/>
      <w:bookmarkEnd w:id="12"/>
      <w:r>
        <w:rPr>
          <w:sz w:val="24"/>
        </w:rPr>
        <w:t>I</w:t>
      </w:r>
      <w:r>
        <w:rPr>
          <w:sz w:val="24"/>
        </w:rPr>
        <w:t>on semiconductor</w:t>
      </w:r>
      <w:r>
        <w:rPr>
          <w:spacing w:val="-2"/>
          <w:sz w:val="24"/>
        </w:rPr>
        <w:t> </w:t>
      </w:r>
      <w:r>
        <w:rPr>
          <w:sz w:val="24"/>
        </w:rPr>
        <w:t>sequencing</w:t>
      </w:r>
    </w:p>
    <w:p>
      <w:pPr>
        <w:pStyle w:val="ListParagraph"/>
        <w:numPr>
          <w:ilvl w:val="1"/>
          <w:numId w:val="27"/>
        </w:numPr>
        <w:tabs>
          <w:tab w:pos="1019" w:val="left" w:leader="none"/>
          <w:tab w:pos="1020" w:val="left" w:leader="none"/>
        </w:tabs>
        <w:spacing w:line="240" w:lineRule="auto" w:before="40" w:after="0"/>
        <w:ind w:left="1020" w:right="0" w:hanging="360"/>
        <w:jc w:val="left"/>
        <w:rPr>
          <w:sz w:val="24"/>
        </w:rPr>
      </w:pPr>
      <w:bookmarkStart w:name=" DNA nanoball sequencing" w:id="13"/>
      <w:bookmarkEnd w:id="13"/>
      <w:r>
        <w:rPr/>
      </w:r>
      <w:bookmarkStart w:name=" DNA nanoball sequencing" w:id="14"/>
      <w:bookmarkEnd w:id="14"/>
      <w:r>
        <w:rPr>
          <w:sz w:val="24"/>
        </w:rPr>
        <w:t>D</w:t>
      </w:r>
      <w:r>
        <w:rPr>
          <w:sz w:val="24"/>
        </w:rPr>
        <w:t>NA nanoball</w:t>
      </w:r>
      <w:r>
        <w:rPr>
          <w:spacing w:val="-2"/>
          <w:sz w:val="24"/>
        </w:rPr>
        <w:t> </w:t>
      </w:r>
      <w:r>
        <w:rPr>
          <w:sz w:val="24"/>
        </w:rPr>
        <w:t>sequencing</w:t>
      </w:r>
    </w:p>
    <w:p>
      <w:pPr>
        <w:pStyle w:val="ListParagraph"/>
        <w:numPr>
          <w:ilvl w:val="1"/>
          <w:numId w:val="27"/>
        </w:numPr>
        <w:tabs>
          <w:tab w:pos="1019" w:val="left" w:leader="none"/>
          <w:tab w:pos="1020" w:val="left" w:leader="none"/>
        </w:tabs>
        <w:spacing w:line="240" w:lineRule="auto" w:before="42" w:after="0"/>
        <w:ind w:left="1020" w:right="0" w:hanging="360"/>
        <w:jc w:val="left"/>
        <w:rPr>
          <w:sz w:val="24"/>
        </w:rPr>
      </w:pPr>
      <w:bookmarkStart w:name=" Heliscope single molecule sequencing" w:id="15"/>
      <w:bookmarkEnd w:id="15"/>
      <w:r>
        <w:rPr/>
      </w:r>
      <w:bookmarkStart w:name=" Heliscope single molecule sequencing" w:id="16"/>
      <w:bookmarkEnd w:id="16"/>
      <w:r>
        <w:rPr>
          <w:sz w:val="24"/>
        </w:rPr>
        <w:t>H</w:t>
      </w:r>
      <w:r>
        <w:rPr>
          <w:sz w:val="24"/>
        </w:rPr>
        <w:t>eliscope single molecule</w:t>
      </w:r>
      <w:r>
        <w:rPr>
          <w:spacing w:val="-4"/>
          <w:sz w:val="24"/>
        </w:rPr>
        <w:t> </w:t>
      </w:r>
      <w:r>
        <w:rPr>
          <w:sz w:val="24"/>
        </w:rPr>
        <w:t>sequencing</w:t>
      </w:r>
    </w:p>
    <w:p>
      <w:pPr>
        <w:pStyle w:val="ListParagraph"/>
        <w:numPr>
          <w:ilvl w:val="1"/>
          <w:numId w:val="27"/>
        </w:numPr>
        <w:tabs>
          <w:tab w:pos="1019" w:val="left" w:leader="none"/>
          <w:tab w:pos="1020" w:val="left" w:leader="none"/>
        </w:tabs>
        <w:spacing w:line="240" w:lineRule="auto" w:before="39" w:after="0"/>
        <w:ind w:left="1020" w:right="0" w:hanging="360"/>
        <w:jc w:val="left"/>
        <w:rPr>
          <w:sz w:val="24"/>
        </w:rPr>
      </w:pPr>
      <w:bookmarkStart w:name=" Single molecule real time (SMRT) seque" w:id="17"/>
      <w:bookmarkEnd w:id="17"/>
      <w:r>
        <w:rPr/>
      </w:r>
      <w:bookmarkStart w:name=" Single molecule real time (SMRT) seque" w:id="18"/>
      <w:bookmarkEnd w:id="18"/>
      <w:r>
        <w:rPr>
          <w:sz w:val="24"/>
        </w:rPr>
        <w:t>S</w:t>
      </w:r>
      <w:r>
        <w:rPr>
          <w:sz w:val="24"/>
        </w:rPr>
        <w:t>ingle molecule real time (SMRT)</w:t>
      </w:r>
      <w:r>
        <w:rPr>
          <w:spacing w:val="-5"/>
          <w:sz w:val="24"/>
        </w:rPr>
        <w:t> </w:t>
      </w:r>
      <w:r>
        <w:rPr>
          <w:sz w:val="24"/>
        </w:rPr>
        <w:t>sequencing</w:t>
      </w:r>
    </w:p>
    <w:p>
      <w:pPr>
        <w:pStyle w:val="BodyText"/>
        <w:spacing w:before="4"/>
        <w:rPr>
          <w:sz w:val="28"/>
        </w:rPr>
      </w:pPr>
      <w:r>
        <w:rPr/>
        <w:pict>
          <v:shape style="position:absolute;margin-left:84.600502pt;margin-top:18.512793pt;width:426.15pt;height:109.1pt;mso-position-horizontal-relative:page;mso-position-vertical-relative:paragraph;z-index:-15572992;mso-wrap-distance-left:0;mso-wrap-distance-right:0" type="#_x0000_t202" filled="true" fillcolor="#ffff00" stroked="true" strokeweight=".48pt" strokecolor="#000000">
            <v:textbox inset="0,0,0,0">
              <w:txbxContent>
                <w:p>
                  <w:pPr>
                    <w:spacing w:before="116"/>
                    <w:ind w:left="103" w:right="98" w:firstLine="0"/>
                    <w:jc w:val="both"/>
                    <w:rPr>
                      <w:b/>
                      <w:sz w:val="24"/>
                    </w:rPr>
                  </w:pPr>
                  <w:r>
                    <w:rPr>
                      <w:b/>
                      <w:sz w:val="24"/>
                    </w:rPr>
                    <w:t>Student are advised to follow these publications to know more about different next generation sequencing technologies and their comparison, (1) Quail, Michael; Smith, Miriam E; Coupland, Paul et al. "A tale of three next generation sequencing platforms: comparison of Ion torrent, pacific biosciences and illumina MiSeq sequencers". </w:t>
                  </w:r>
                  <w:r>
                    <w:rPr>
                      <w:b/>
                      <w:i/>
                      <w:sz w:val="24"/>
                    </w:rPr>
                    <w:t>BMC Genomics </w:t>
                  </w:r>
                  <w:r>
                    <w:rPr>
                      <w:b/>
                      <w:sz w:val="24"/>
                    </w:rPr>
                    <w:t>13 (1): 341 PMID 22827831 (2) Liu, Lin; Li, Yinhu; Li, Siliang et al. Comparison of Next-Generation Sequencing Systems. </w:t>
                  </w:r>
                  <w:r>
                    <w:rPr>
                      <w:b/>
                      <w:i/>
                      <w:sz w:val="24"/>
                    </w:rPr>
                    <w:t>Journal of Biomedicine and Biotechnology </w:t>
                  </w:r>
                  <w:r>
                    <w:rPr>
                      <w:b/>
                      <w:sz w:val="24"/>
                    </w:rPr>
                    <w:t>2012:</w:t>
                  </w:r>
                  <w:r>
                    <w:rPr>
                      <w:b/>
                      <w:spacing w:val="-10"/>
                      <w:sz w:val="24"/>
                    </w:rPr>
                    <w:t> </w:t>
                  </w:r>
                  <w:r>
                    <w:rPr>
                      <w:b/>
                      <w:sz w:val="24"/>
                    </w:rPr>
                    <w:t>1–11.</w:t>
                  </w:r>
                </w:p>
              </w:txbxContent>
            </v:textbox>
            <v:fill type="solid"/>
            <v:stroke dashstyle="solid"/>
            <w10:wrap type="topAndBottom"/>
          </v:shape>
        </w:pict>
      </w:r>
    </w:p>
    <w:p>
      <w:pPr>
        <w:spacing w:after="0"/>
        <w:rPr>
          <w:sz w:val="28"/>
        </w:rPr>
        <w:sectPr>
          <w:pgSz w:w="11910" w:h="16840"/>
          <w:pgMar w:header="722" w:footer="748" w:top="1300" w:bottom="940" w:left="1500" w:right="1480"/>
        </w:sectPr>
      </w:pPr>
    </w:p>
    <w:p>
      <w:pPr>
        <w:pStyle w:val="Heading2"/>
        <w:spacing w:line="408" w:lineRule="auto"/>
        <w:ind w:right="2403"/>
        <w:jc w:val="left"/>
      </w:pPr>
      <w:r>
        <w:rPr/>
        <w:t>Module 5 Chromatographic Techniques Lecture 28: Principles of Chromatography</w:t>
      </w:r>
    </w:p>
    <w:p>
      <w:pPr>
        <w:pStyle w:val="BodyText"/>
        <w:spacing w:line="360" w:lineRule="auto"/>
        <w:ind w:left="299" w:right="313"/>
        <w:jc w:val="both"/>
      </w:pPr>
      <w:r>
        <w:rPr>
          <w:b/>
        </w:rPr>
        <w:t>Introduction: </w:t>
      </w:r>
      <w:r>
        <w:rPr/>
        <w:t>The molecules present in biological system or in synthetic chemistry are produced through a series of reactions involving intermediates. As discussed in previous lecture, at any moment of time biological organism has major fraction as desired product but has other compounds in minute quantities. The minor species present in a product is always referred as “impurities” and these compounds need to separate from desired product for biotechnology applications. </w:t>
      </w:r>
      <w:r>
        <w:rPr>
          <w:b/>
          <w:u w:val="thick"/>
        </w:rPr>
        <w:t>How two molecules</w:t>
      </w:r>
      <w:r>
        <w:rPr>
          <w:b/>
        </w:rPr>
        <w:t> </w:t>
      </w:r>
      <w:r>
        <w:rPr>
          <w:b/>
          <w:u w:val="thick"/>
        </w:rPr>
        <w:t>can be separated from each other?</w:t>
      </w:r>
      <w:r>
        <w:rPr>
          <w:b/>
        </w:rPr>
        <w:t> </w:t>
      </w:r>
      <w:r>
        <w:rPr/>
        <w:t>To answer this question we can take the example of three molecules given in Figure 28.1. These 3 molecules (benzene, phenol, aniline) are similar to each other but have distinct physical and chemical properties which can be used as a criteria to separate them. The physical and chemical properties which can be use to separate molecules</w:t>
      </w:r>
      <w:r>
        <w:rPr>
          <w:spacing w:val="-4"/>
        </w:rPr>
        <w:t> </w:t>
      </w:r>
      <w:r>
        <w:rPr/>
        <w:t>are-</w:t>
      </w:r>
    </w:p>
    <w:p>
      <w:pPr>
        <w:pStyle w:val="Heading4"/>
        <w:spacing w:before="195"/>
      </w:pPr>
      <w:r>
        <w:rPr/>
        <w:t>Physical Properties</w:t>
      </w:r>
    </w:p>
    <w:p>
      <w:pPr>
        <w:pStyle w:val="BodyText"/>
        <w:spacing w:before="9"/>
        <w:rPr>
          <w:b/>
          <w:sz w:val="28"/>
        </w:rPr>
      </w:pPr>
    </w:p>
    <w:p>
      <w:pPr>
        <w:pStyle w:val="ListParagraph"/>
        <w:numPr>
          <w:ilvl w:val="0"/>
          <w:numId w:val="28"/>
        </w:numPr>
        <w:tabs>
          <w:tab w:pos="540" w:val="left" w:leader="none"/>
        </w:tabs>
        <w:spacing w:line="240" w:lineRule="auto" w:before="1" w:after="0"/>
        <w:ind w:left="540" w:right="0" w:hanging="240"/>
        <w:jc w:val="left"/>
        <w:rPr>
          <w:sz w:val="24"/>
        </w:rPr>
      </w:pPr>
      <w:r>
        <w:rPr>
          <w:sz w:val="24"/>
        </w:rPr>
        <w:t>Molecular</w:t>
      </w:r>
      <w:r>
        <w:rPr>
          <w:spacing w:val="-2"/>
          <w:sz w:val="24"/>
        </w:rPr>
        <w:t> </w:t>
      </w:r>
      <w:r>
        <w:rPr>
          <w:sz w:val="24"/>
        </w:rPr>
        <w:t>weight</w:t>
      </w:r>
    </w:p>
    <w:p>
      <w:pPr>
        <w:pStyle w:val="ListParagraph"/>
        <w:numPr>
          <w:ilvl w:val="0"/>
          <w:numId w:val="28"/>
        </w:numPr>
        <w:tabs>
          <w:tab w:pos="540" w:val="left" w:leader="none"/>
        </w:tabs>
        <w:spacing w:line="240" w:lineRule="auto" w:before="120" w:after="0"/>
        <w:ind w:left="540" w:right="0" w:hanging="241"/>
        <w:jc w:val="left"/>
        <w:rPr>
          <w:sz w:val="24"/>
        </w:rPr>
      </w:pPr>
      <w:r>
        <w:rPr>
          <w:sz w:val="24"/>
        </w:rPr>
        <w:t>Boiling point (in case both are liquid, as in this</w:t>
      </w:r>
      <w:r>
        <w:rPr>
          <w:spacing w:val="-5"/>
          <w:sz w:val="24"/>
        </w:rPr>
        <w:t> </w:t>
      </w:r>
      <w:r>
        <w:rPr>
          <w:sz w:val="24"/>
        </w:rPr>
        <w:t>case)</w:t>
      </w:r>
    </w:p>
    <w:p>
      <w:pPr>
        <w:pStyle w:val="ListParagraph"/>
        <w:numPr>
          <w:ilvl w:val="0"/>
          <w:numId w:val="28"/>
        </w:numPr>
        <w:tabs>
          <w:tab w:pos="540" w:val="left" w:leader="none"/>
        </w:tabs>
        <w:spacing w:line="240" w:lineRule="auto" w:before="120" w:after="0"/>
        <w:ind w:left="540" w:right="0" w:hanging="240"/>
        <w:jc w:val="left"/>
        <w:rPr>
          <w:sz w:val="24"/>
        </w:rPr>
      </w:pPr>
      <w:r>
        <w:rPr>
          <w:sz w:val="24"/>
        </w:rPr>
        <w:t>Freezing</w:t>
      </w:r>
      <w:r>
        <w:rPr>
          <w:spacing w:val="-6"/>
          <w:sz w:val="24"/>
        </w:rPr>
        <w:t> </w:t>
      </w:r>
      <w:r>
        <w:rPr>
          <w:sz w:val="24"/>
        </w:rPr>
        <w:t>point</w:t>
      </w:r>
    </w:p>
    <w:p>
      <w:pPr>
        <w:pStyle w:val="ListParagraph"/>
        <w:numPr>
          <w:ilvl w:val="0"/>
          <w:numId w:val="28"/>
        </w:numPr>
        <w:tabs>
          <w:tab w:pos="540" w:val="left" w:leader="none"/>
        </w:tabs>
        <w:spacing w:line="240" w:lineRule="auto" w:before="120" w:after="0"/>
        <w:ind w:left="540" w:right="0" w:hanging="240"/>
        <w:jc w:val="left"/>
        <w:rPr>
          <w:sz w:val="24"/>
        </w:rPr>
      </w:pPr>
      <w:r>
        <w:rPr>
          <w:sz w:val="24"/>
        </w:rPr>
        <w:t>Crystallization</w:t>
      </w:r>
    </w:p>
    <w:p>
      <w:pPr>
        <w:pStyle w:val="ListParagraph"/>
        <w:numPr>
          <w:ilvl w:val="0"/>
          <w:numId w:val="28"/>
        </w:numPr>
        <w:tabs>
          <w:tab w:pos="540" w:val="left" w:leader="none"/>
        </w:tabs>
        <w:spacing w:line="240" w:lineRule="auto" w:before="120" w:after="0"/>
        <w:ind w:left="540" w:right="0" w:hanging="240"/>
        <w:jc w:val="left"/>
        <w:rPr>
          <w:sz w:val="24"/>
        </w:rPr>
      </w:pPr>
      <w:r>
        <w:rPr>
          <w:sz w:val="24"/>
        </w:rPr>
        <w:t>Solubility</w:t>
      </w:r>
    </w:p>
    <w:p>
      <w:pPr>
        <w:pStyle w:val="ListParagraph"/>
        <w:numPr>
          <w:ilvl w:val="0"/>
          <w:numId w:val="28"/>
        </w:numPr>
        <w:tabs>
          <w:tab w:pos="540" w:val="left" w:leader="none"/>
        </w:tabs>
        <w:spacing w:line="240" w:lineRule="auto" w:before="120" w:after="0"/>
        <w:ind w:left="540" w:right="0" w:hanging="240"/>
        <w:jc w:val="left"/>
        <w:rPr>
          <w:sz w:val="24"/>
        </w:rPr>
      </w:pPr>
      <w:r>
        <w:rPr>
          <w:sz w:val="24"/>
        </w:rPr>
        <w:t>Density</w:t>
      </w:r>
    </w:p>
    <w:p>
      <w:pPr>
        <w:spacing w:after="0" w:line="240" w:lineRule="auto"/>
        <w:jc w:val="left"/>
        <w:rPr>
          <w:sz w:val="24"/>
        </w:rPr>
        <w:sectPr>
          <w:headerReference w:type="default" r:id="rId169"/>
          <w:footerReference w:type="default" r:id="rId170"/>
          <w:pgSz w:w="11910" w:h="16840"/>
          <w:pgMar w:header="722" w:footer="748" w:top="1300" w:bottom="940" w:left="1500" w:right="1480"/>
          <w:pgNumType w:start="1"/>
        </w:sectPr>
      </w:pPr>
    </w:p>
    <w:p>
      <w:pPr>
        <w:pStyle w:val="Heading4"/>
        <w:spacing w:before="124"/>
      </w:pPr>
      <w:r>
        <w:rPr/>
        <w:t>Chemical Properties</w:t>
      </w:r>
    </w:p>
    <w:p>
      <w:pPr>
        <w:pStyle w:val="BodyText"/>
        <w:rPr>
          <w:b/>
          <w:sz w:val="29"/>
        </w:rPr>
      </w:pPr>
    </w:p>
    <w:p>
      <w:pPr>
        <w:pStyle w:val="ListParagraph"/>
        <w:numPr>
          <w:ilvl w:val="0"/>
          <w:numId w:val="29"/>
        </w:numPr>
        <w:tabs>
          <w:tab w:pos="540" w:val="left" w:leader="none"/>
        </w:tabs>
        <w:spacing w:line="240" w:lineRule="auto" w:before="0" w:after="0"/>
        <w:ind w:left="540" w:right="0" w:hanging="240"/>
        <w:jc w:val="left"/>
        <w:rPr>
          <w:sz w:val="24"/>
        </w:rPr>
      </w:pPr>
      <w:r>
        <w:rPr>
          <w:sz w:val="24"/>
        </w:rPr>
        <w:t>Functional Group, for example, phenol has –OH where as aniline has</w:t>
      </w:r>
      <w:r>
        <w:rPr>
          <w:spacing w:val="-4"/>
          <w:sz w:val="24"/>
        </w:rPr>
        <w:t> </w:t>
      </w:r>
      <w:r>
        <w:rPr>
          <w:sz w:val="24"/>
        </w:rPr>
        <w:t>NH2.</w:t>
      </w:r>
    </w:p>
    <w:p>
      <w:pPr>
        <w:pStyle w:val="BodyText"/>
        <w:spacing w:before="5"/>
        <w:rPr>
          <w:sz w:val="29"/>
        </w:rPr>
      </w:pPr>
    </w:p>
    <w:p>
      <w:pPr>
        <w:pStyle w:val="ListParagraph"/>
        <w:numPr>
          <w:ilvl w:val="0"/>
          <w:numId w:val="29"/>
        </w:numPr>
        <w:tabs>
          <w:tab w:pos="540" w:val="left" w:leader="none"/>
        </w:tabs>
        <w:spacing w:line="240" w:lineRule="auto" w:before="0" w:after="0"/>
        <w:ind w:left="540" w:right="0" w:hanging="241"/>
        <w:jc w:val="left"/>
        <w:rPr>
          <w:sz w:val="24"/>
        </w:rPr>
      </w:pPr>
      <w:r>
        <w:rPr>
          <w:sz w:val="24"/>
        </w:rPr>
        <w:t>Reactivity towards other reagent to form</w:t>
      </w:r>
      <w:r>
        <w:rPr>
          <w:spacing w:val="-5"/>
          <w:sz w:val="24"/>
        </w:rPr>
        <w:t> </w:t>
      </w:r>
      <w:r>
        <w:rPr>
          <w:sz w:val="24"/>
        </w:rPr>
        <w:t>complex</w:t>
      </w:r>
    </w:p>
    <w:p>
      <w:pPr>
        <w:pStyle w:val="BodyText"/>
        <w:spacing w:before="3"/>
        <w:rPr>
          <w:sz w:val="29"/>
        </w:rPr>
      </w:pPr>
    </w:p>
    <w:p>
      <w:pPr>
        <w:pStyle w:val="BodyText"/>
        <w:spacing w:line="360" w:lineRule="auto"/>
        <w:ind w:left="299" w:right="315"/>
        <w:jc w:val="both"/>
      </w:pPr>
      <w:r>
        <w:rPr/>
        <w:t>Now for example you have a mixture of compound 1 (benzene) and compound 3 (Aniline) and you would like to purify benzene rather than aniline. In this situation, you can take the physical and chemical properties of benzene into the account and isolate it from the mixture.</w:t>
      </w:r>
    </w:p>
    <w:p>
      <w:pPr>
        <w:pStyle w:val="BodyText"/>
        <w:rPr>
          <w:sz w:val="20"/>
        </w:rPr>
      </w:pPr>
    </w:p>
    <w:p>
      <w:pPr>
        <w:pStyle w:val="BodyText"/>
        <w:spacing w:before="5"/>
        <w:rPr>
          <w:sz w:val="21"/>
        </w:rPr>
      </w:pPr>
      <w:r>
        <w:rPr/>
        <w:drawing>
          <wp:anchor distT="0" distB="0" distL="0" distR="0" allowOverlap="1" layoutInCell="1" locked="0" behindDoc="0" simplePos="0" relativeHeight="305">
            <wp:simplePos x="0" y="0"/>
            <wp:positionH relativeFrom="page">
              <wp:posOffset>1143436</wp:posOffset>
            </wp:positionH>
            <wp:positionV relativeFrom="paragraph">
              <wp:posOffset>181842</wp:posOffset>
            </wp:positionV>
            <wp:extent cx="5260364" cy="2889504"/>
            <wp:effectExtent l="0" t="0" r="0" b="0"/>
            <wp:wrapTopAndBottom/>
            <wp:docPr id="305" name="image157.png"/>
            <wp:cNvGraphicFramePr>
              <a:graphicFrameLocks noChangeAspect="1"/>
            </wp:cNvGraphicFramePr>
            <a:graphic>
              <a:graphicData uri="http://schemas.openxmlformats.org/drawingml/2006/picture">
                <pic:pic>
                  <pic:nvPicPr>
                    <pic:cNvPr id="306" name="image157.png"/>
                    <pic:cNvPicPr/>
                  </pic:nvPicPr>
                  <pic:blipFill>
                    <a:blip r:embed="rId171" cstate="print"/>
                    <a:stretch>
                      <a:fillRect/>
                    </a:stretch>
                  </pic:blipFill>
                  <pic:spPr>
                    <a:xfrm>
                      <a:off x="0" y="0"/>
                      <a:ext cx="5260364" cy="2889504"/>
                    </a:xfrm>
                    <a:prstGeom prst="rect">
                      <a:avLst/>
                    </a:prstGeom>
                  </pic:spPr>
                </pic:pic>
              </a:graphicData>
            </a:graphic>
          </wp:anchor>
        </w:drawing>
      </w:r>
    </w:p>
    <w:p>
      <w:pPr>
        <w:pStyle w:val="BodyText"/>
        <w:spacing w:before="2"/>
        <w:rPr>
          <w:sz w:val="28"/>
        </w:rPr>
      </w:pPr>
    </w:p>
    <w:p>
      <w:pPr>
        <w:spacing w:before="0"/>
        <w:ind w:left="599" w:right="617" w:firstLine="0"/>
        <w:jc w:val="center"/>
        <w:rPr>
          <w:b/>
          <w:sz w:val="16"/>
        </w:rPr>
      </w:pPr>
      <w:r>
        <w:rPr>
          <w:b/>
          <w:sz w:val="16"/>
        </w:rPr>
        <w:t>Figure 28.1: Chemical Structure and physical Properties of benzene, phenol and aniline.</w:t>
      </w:r>
    </w:p>
    <w:p>
      <w:pPr>
        <w:spacing w:after="0"/>
        <w:jc w:val="center"/>
        <w:rPr>
          <w:sz w:val="16"/>
        </w:rPr>
        <w:sectPr>
          <w:pgSz w:w="11910" w:h="16840"/>
          <w:pgMar w:header="722" w:footer="748" w:top="1300" w:bottom="940" w:left="1500" w:right="1480"/>
        </w:sectPr>
      </w:pPr>
    </w:p>
    <w:p>
      <w:pPr>
        <w:pStyle w:val="BodyText"/>
        <w:spacing w:line="360" w:lineRule="auto" w:before="124"/>
        <w:ind w:left="300" w:right="315"/>
        <w:jc w:val="both"/>
      </w:pPr>
      <w:r>
        <w:rPr>
          <w:b/>
        </w:rPr>
        <w:t>Principle of Seperation: </w:t>
      </w:r>
      <w:r>
        <w:rPr>
          <w:b/>
          <w:u w:val="thick"/>
        </w:rPr>
        <w:t>How a physical or chemical property will allow to isolate</w:t>
      </w:r>
      <w:r>
        <w:rPr>
          <w:b/>
        </w:rPr>
        <w:t> </w:t>
      </w:r>
      <w:r>
        <w:rPr>
          <w:b/>
          <w:u w:val="thick"/>
        </w:rPr>
        <w:t>a particular substance?</w:t>
      </w:r>
      <w:r>
        <w:rPr>
          <w:b/>
        </w:rPr>
        <w:t> </w:t>
      </w:r>
      <w:r>
        <w:rPr/>
        <w:t>The mixture of compound 1 and 3 is shown in Figure 28.2 and assume if we are using boiling point as a criteria to isolate them. As we will heat the mixture there will two phase forms, one liquid phase and other is vapor phase. The molecules of compound 1 and 3 will distribute between these two phases and as the temp is near to boiling point of compound 1, more amount of 1 will be present in vapor phase than liquid phase. Where as more number of compound 3 will be in liquid phase. Eventually as this process will continue, at the end two molecules will get separated from each other. The distribution coefficient (Kd) to describe the distribution of compound 1 between two phase A and B is as</w:t>
      </w:r>
      <w:r>
        <w:rPr>
          <w:spacing w:val="-7"/>
        </w:rPr>
        <w:t> </w:t>
      </w:r>
      <w:r>
        <w:rPr/>
        <w:t>follows:</w:t>
      </w:r>
    </w:p>
    <w:p>
      <w:pPr>
        <w:pStyle w:val="BodyText"/>
        <w:rPr>
          <w:sz w:val="26"/>
        </w:rPr>
      </w:pPr>
    </w:p>
    <w:p>
      <w:pPr>
        <w:pStyle w:val="BodyText"/>
        <w:spacing w:before="6"/>
        <w:rPr>
          <w:sz w:val="35"/>
        </w:rPr>
      </w:pPr>
    </w:p>
    <w:p>
      <w:pPr>
        <w:pStyle w:val="Heading1"/>
        <w:spacing w:line="196" w:lineRule="auto"/>
        <w:ind w:left="2968" w:right="2083" w:hanging="896"/>
      </w:pPr>
      <w:r>
        <w:rPr/>
        <w:pict>
          <v:rect style="position:absolute;margin-left:223.440002pt;margin-top:21.93051pt;width:193.08pt;height:1.2pt;mso-position-horizontal-relative:page;mso-position-vertical-relative:paragraph;z-index:-18381824" filled="true" fillcolor="#000000" stroked="false">
            <v:fill type="solid"/>
            <w10:wrap type="none"/>
          </v:rect>
        </w:pict>
      </w:r>
      <w:r>
        <w:rPr>
          <w:position w:val="-26"/>
        </w:rPr>
        <w:t>Kd</w:t>
      </w:r>
      <w:r>
        <w:rPr>
          <w:spacing w:val="-32"/>
          <w:position w:val="-26"/>
        </w:rPr>
        <w:t> </w:t>
      </w:r>
      <w:r>
        <w:rPr>
          <w:position w:val="-26"/>
        </w:rPr>
        <w:t>=</w:t>
      </w:r>
      <w:r>
        <w:rPr>
          <w:spacing w:val="-33"/>
          <w:position w:val="-26"/>
        </w:rPr>
        <w:t> </w:t>
      </w:r>
      <w:r>
        <w:rPr/>
        <w:t>Concentration</w:t>
      </w:r>
      <w:r>
        <w:rPr>
          <w:spacing w:val="-45"/>
        </w:rPr>
        <w:t> </w:t>
      </w:r>
      <w:r>
        <w:rPr/>
        <w:t>in</w:t>
      </w:r>
      <w:r>
        <w:rPr>
          <w:spacing w:val="-45"/>
        </w:rPr>
        <w:t> </w:t>
      </w:r>
      <w:r>
        <w:rPr/>
        <w:t>Phase</w:t>
      </w:r>
      <w:r>
        <w:rPr>
          <w:spacing w:val="-45"/>
        </w:rPr>
        <w:t> </w:t>
      </w:r>
      <w:r>
        <w:rPr/>
        <w:t>A Concentration</w:t>
      </w:r>
      <w:r>
        <w:rPr>
          <w:spacing w:val="-47"/>
        </w:rPr>
        <w:t> </w:t>
      </w:r>
      <w:r>
        <w:rPr/>
        <w:t>in</w:t>
      </w:r>
      <w:r>
        <w:rPr>
          <w:spacing w:val="-48"/>
        </w:rPr>
        <w:t> </w:t>
      </w:r>
      <w:r>
        <w:rPr/>
        <w:t>Phase</w:t>
      </w:r>
      <w:r>
        <w:rPr>
          <w:spacing w:val="-47"/>
        </w:rPr>
        <w:t> </w:t>
      </w:r>
      <w:r>
        <w:rPr/>
        <w:t>B</w:t>
      </w:r>
    </w:p>
    <w:p>
      <w:pPr>
        <w:pStyle w:val="BodyText"/>
        <w:spacing w:line="360" w:lineRule="auto" w:before="197"/>
        <w:ind w:left="299" w:right="317"/>
        <w:jc w:val="both"/>
      </w:pPr>
      <w:r>
        <w:rPr/>
        <w:t>Similarly one can also exploit other physical &amp; chemical parameters as well. With each and every physical and chemical parameter the molecule present in the mixture will distribute as per their behavior in each parameter.</w:t>
      </w:r>
    </w:p>
    <w:p>
      <w:pPr>
        <w:pStyle w:val="BodyText"/>
        <w:spacing w:before="6"/>
        <w:rPr>
          <w:sz w:val="14"/>
        </w:rPr>
      </w:pPr>
      <w:r>
        <w:rPr/>
        <w:drawing>
          <wp:anchor distT="0" distB="0" distL="0" distR="0" allowOverlap="1" layoutInCell="1" locked="0" behindDoc="0" simplePos="0" relativeHeight="306">
            <wp:simplePos x="0" y="0"/>
            <wp:positionH relativeFrom="page">
              <wp:posOffset>1314246</wp:posOffset>
            </wp:positionH>
            <wp:positionV relativeFrom="paragraph">
              <wp:posOffset>130878</wp:posOffset>
            </wp:positionV>
            <wp:extent cx="4941835" cy="2298192"/>
            <wp:effectExtent l="0" t="0" r="0" b="0"/>
            <wp:wrapTopAndBottom/>
            <wp:docPr id="307" name="image158.png"/>
            <wp:cNvGraphicFramePr>
              <a:graphicFrameLocks noChangeAspect="1"/>
            </wp:cNvGraphicFramePr>
            <a:graphic>
              <a:graphicData uri="http://schemas.openxmlformats.org/drawingml/2006/picture">
                <pic:pic>
                  <pic:nvPicPr>
                    <pic:cNvPr id="308" name="image158.png"/>
                    <pic:cNvPicPr/>
                  </pic:nvPicPr>
                  <pic:blipFill>
                    <a:blip r:embed="rId172" cstate="print"/>
                    <a:stretch>
                      <a:fillRect/>
                    </a:stretch>
                  </pic:blipFill>
                  <pic:spPr>
                    <a:xfrm>
                      <a:off x="0" y="0"/>
                      <a:ext cx="4941835" cy="2298192"/>
                    </a:xfrm>
                    <a:prstGeom prst="rect">
                      <a:avLst/>
                    </a:prstGeom>
                  </pic:spPr>
                </pic:pic>
              </a:graphicData>
            </a:graphic>
          </wp:anchor>
        </w:drawing>
      </w:r>
    </w:p>
    <w:p>
      <w:pPr>
        <w:pStyle w:val="BodyText"/>
        <w:spacing w:before="1"/>
        <w:rPr>
          <w:sz w:val="28"/>
        </w:rPr>
      </w:pPr>
    </w:p>
    <w:p>
      <w:pPr>
        <w:spacing w:before="0"/>
        <w:ind w:left="598" w:right="617" w:firstLine="0"/>
        <w:jc w:val="center"/>
        <w:rPr>
          <w:b/>
          <w:sz w:val="16"/>
        </w:rPr>
      </w:pPr>
      <w:r>
        <w:rPr>
          <w:b/>
          <w:sz w:val="16"/>
        </w:rPr>
        <w:t>Figure 28.2: Distribution of molecules during distillation.</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4"/>
        <w:jc w:val="both"/>
      </w:pPr>
      <w:r>
        <w:rPr>
          <w:b/>
        </w:rPr>
        <w:t>Chromatography: </w:t>
      </w:r>
      <w:r>
        <w:rPr/>
        <w:t>The purpose of chromatography is to separate a complex mixture into individual component exploiting the partition effect which distribute the molecules into the different phases. As discussed above, a distribution of a molecule between two phases A and B is given by a distribution coefficient, Kd. In most of the chromatography techniques, phase A is stationary phase or matrix and phase B is mobile phase or buffer.</w:t>
      </w:r>
    </w:p>
    <w:p>
      <w:pPr>
        <w:pStyle w:val="BodyText"/>
        <w:spacing w:line="360" w:lineRule="auto" w:before="200"/>
        <w:ind w:left="299" w:right="317"/>
        <w:jc w:val="both"/>
      </w:pPr>
      <w:r>
        <w:rPr>
          <w:b/>
        </w:rPr>
        <w:t>Column Chromatography: </w:t>
      </w:r>
      <w:r>
        <w:rPr/>
        <w:t>In column chromatography, a stationary phase is filled into a cylindrical tube made up of glasss or steel. The mixture of analyte is loaded on the top and it runs from top to bottom. </w:t>
      </w:r>
      <w:r>
        <w:rPr>
          <w:b/>
        </w:rPr>
        <w:t>How Kd is exploited in column chromatography ? </w:t>
      </w:r>
      <w:r>
        <w:rPr/>
        <w:t>Assume two molecules, X and Y with a Kd value of 1 and 9 and they are traveling through a column with water as mobile phase as given in Figure</w:t>
      </w:r>
    </w:p>
    <w:p>
      <w:pPr>
        <w:pStyle w:val="BodyText"/>
        <w:spacing w:line="360" w:lineRule="auto" w:before="1"/>
        <w:ind w:left="299" w:right="314"/>
        <w:jc w:val="both"/>
      </w:pPr>
      <w:r>
        <w:rPr/>
        <w:t>28.3. As they will travel, X and Y will partition between stationary phase and mobile phase. As there is a huge difference in Kd, Y will be associated with the matrix and remain on the top of the column where as X will move along the water. At the end of chromatography, X will come out first whereas Y will come out last.</w:t>
      </w:r>
    </w:p>
    <w:p>
      <w:pPr>
        <w:pStyle w:val="BodyText"/>
        <w:rPr>
          <w:sz w:val="20"/>
        </w:rPr>
      </w:pPr>
    </w:p>
    <w:p>
      <w:pPr>
        <w:pStyle w:val="BodyText"/>
        <w:rPr>
          <w:sz w:val="20"/>
        </w:rPr>
      </w:pPr>
    </w:p>
    <w:p>
      <w:pPr>
        <w:pStyle w:val="BodyText"/>
        <w:spacing w:before="10"/>
        <w:rPr>
          <w:sz w:val="27"/>
        </w:rPr>
      </w:pPr>
      <w:r>
        <w:rPr/>
        <w:drawing>
          <wp:anchor distT="0" distB="0" distL="0" distR="0" allowOverlap="1" layoutInCell="1" locked="0" behindDoc="0" simplePos="0" relativeHeight="308">
            <wp:simplePos x="0" y="0"/>
            <wp:positionH relativeFrom="page">
              <wp:posOffset>1188994</wp:posOffset>
            </wp:positionH>
            <wp:positionV relativeFrom="paragraph">
              <wp:posOffset>228611</wp:posOffset>
            </wp:positionV>
            <wp:extent cx="5188426" cy="2151888"/>
            <wp:effectExtent l="0" t="0" r="0" b="0"/>
            <wp:wrapTopAndBottom/>
            <wp:docPr id="309" name="image159.png"/>
            <wp:cNvGraphicFramePr>
              <a:graphicFrameLocks noChangeAspect="1"/>
            </wp:cNvGraphicFramePr>
            <a:graphic>
              <a:graphicData uri="http://schemas.openxmlformats.org/drawingml/2006/picture">
                <pic:pic>
                  <pic:nvPicPr>
                    <pic:cNvPr id="310" name="image159.png"/>
                    <pic:cNvPicPr/>
                  </pic:nvPicPr>
                  <pic:blipFill>
                    <a:blip r:embed="rId173" cstate="print"/>
                    <a:stretch>
                      <a:fillRect/>
                    </a:stretch>
                  </pic:blipFill>
                  <pic:spPr>
                    <a:xfrm>
                      <a:off x="0" y="0"/>
                      <a:ext cx="5188426" cy="2151888"/>
                    </a:xfrm>
                    <a:prstGeom prst="rect">
                      <a:avLst/>
                    </a:prstGeom>
                  </pic:spPr>
                </pic:pic>
              </a:graphicData>
            </a:graphic>
          </wp:anchor>
        </w:drawing>
      </w:r>
    </w:p>
    <w:p>
      <w:pPr>
        <w:pStyle w:val="BodyText"/>
        <w:spacing w:before="3"/>
        <w:rPr>
          <w:sz w:val="28"/>
        </w:rPr>
      </w:pPr>
    </w:p>
    <w:p>
      <w:pPr>
        <w:spacing w:before="0"/>
        <w:ind w:left="598" w:right="617" w:firstLine="0"/>
        <w:jc w:val="center"/>
        <w:rPr>
          <w:b/>
          <w:sz w:val="16"/>
        </w:rPr>
      </w:pPr>
      <w:r>
        <w:rPr>
          <w:b/>
          <w:sz w:val="16"/>
        </w:rPr>
        <w:t>Figure 28.3: Seperation of two molecules on a column.</w:t>
      </w:r>
    </w:p>
    <w:p>
      <w:pPr>
        <w:spacing w:after="0"/>
        <w:jc w:val="center"/>
        <w:rPr>
          <w:sz w:val="16"/>
        </w:rPr>
        <w:sectPr>
          <w:pgSz w:w="11910" w:h="16840"/>
          <w:pgMar w:header="722" w:footer="748" w:top="1300" w:bottom="940" w:left="1500" w:right="1480"/>
        </w:sectPr>
      </w:pPr>
    </w:p>
    <w:p>
      <w:pPr>
        <w:pStyle w:val="BodyText"/>
        <w:spacing w:line="360" w:lineRule="auto" w:before="119"/>
        <w:ind w:left="299" w:right="317"/>
        <w:jc w:val="both"/>
      </w:pPr>
      <w:r>
        <w:rPr>
          <w:b/>
        </w:rPr>
        <w:t>Chromatogram: </w:t>
      </w:r>
      <w:r>
        <w:rPr/>
        <w:t>The plot of elution volume along with the absorbance is known as chromatogram as given in Figure 28.4. The volume or time it takes for a analyte to come out from the column is known as retention volume or time. The chromatogram may have separate peaks (A and B) or peaks (C and D) with overlapping base, these peaks are called fused peaks.</w:t>
      </w:r>
    </w:p>
    <w:p>
      <w:pPr>
        <w:pStyle w:val="BodyText"/>
        <w:spacing w:before="7"/>
        <w:rPr>
          <w:sz w:val="14"/>
        </w:rPr>
      </w:pPr>
      <w:r>
        <w:rPr/>
        <w:drawing>
          <wp:anchor distT="0" distB="0" distL="0" distR="0" allowOverlap="1" layoutInCell="1" locked="0" behindDoc="0" simplePos="0" relativeHeight="309">
            <wp:simplePos x="0" y="0"/>
            <wp:positionH relativeFrom="page">
              <wp:posOffset>1177319</wp:posOffset>
            </wp:positionH>
            <wp:positionV relativeFrom="paragraph">
              <wp:posOffset>131462</wp:posOffset>
            </wp:positionV>
            <wp:extent cx="5207961" cy="2023872"/>
            <wp:effectExtent l="0" t="0" r="0" b="0"/>
            <wp:wrapTopAndBottom/>
            <wp:docPr id="311" name="image160.png"/>
            <wp:cNvGraphicFramePr>
              <a:graphicFrameLocks noChangeAspect="1"/>
            </wp:cNvGraphicFramePr>
            <a:graphic>
              <a:graphicData uri="http://schemas.openxmlformats.org/drawingml/2006/picture">
                <pic:pic>
                  <pic:nvPicPr>
                    <pic:cNvPr id="312" name="image160.png"/>
                    <pic:cNvPicPr/>
                  </pic:nvPicPr>
                  <pic:blipFill>
                    <a:blip r:embed="rId174" cstate="print"/>
                    <a:stretch>
                      <a:fillRect/>
                    </a:stretch>
                  </pic:blipFill>
                  <pic:spPr>
                    <a:xfrm>
                      <a:off x="0" y="0"/>
                      <a:ext cx="5207961" cy="2023872"/>
                    </a:xfrm>
                    <a:prstGeom prst="rect">
                      <a:avLst/>
                    </a:prstGeom>
                  </pic:spPr>
                </pic:pic>
              </a:graphicData>
            </a:graphic>
          </wp:anchor>
        </w:drawing>
      </w:r>
    </w:p>
    <w:p>
      <w:pPr>
        <w:pStyle w:val="BodyText"/>
        <w:spacing w:before="5"/>
        <w:rPr>
          <w:sz w:val="28"/>
        </w:rPr>
      </w:pPr>
    </w:p>
    <w:p>
      <w:pPr>
        <w:spacing w:before="1"/>
        <w:ind w:left="596" w:right="617" w:firstLine="0"/>
        <w:jc w:val="center"/>
        <w:rPr>
          <w:b/>
          <w:sz w:val="16"/>
        </w:rPr>
      </w:pPr>
      <w:r>
        <w:rPr>
          <w:b/>
          <w:sz w:val="16"/>
        </w:rPr>
        <w:t>Figure 28.4: A typical chromatogram.</w:t>
      </w:r>
    </w:p>
    <w:p>
      <w:pPr>
        <w:pStyle w:val="BodyText"/>
        <w:rPr>
          <w:b/>
          <w:sz w:val="18"/>
        </w:rPr>
      </w:pPr>
    </w:p>
    <w:p>
      <w:pPr>
        <w:pStyle w:val="BodyText"/>
        <w:spacing w:before="8"/>
        <w:rPr>
          <w:b/>
          <w:sz w:val="18"/>
        </w:rPr>
      </w:pPr>
    </w:p>
    <w:p>
      <w:pPr>
        <w:pStyle w:val="BodyText"/>
        <w:spacing w:line="360" w:lineRule="auto" w:before="1"/>
        <w:ind w:left="300" w:right="318"/>
        <w:jc w:val="both"/>
      </w:pPr>
      <w:r>
        <w:rPr>
          <w:b/>
        </w:rPr>
        <w:t>Resolution: </w:t>
      </w:r>
      <w:r>
        <w:rPr/>
        <w:t>The ability of a chromatography column to separate two analyte peak from another is known as resolution. It is defined as the ratio of difference in retention time between two peaks and average of base of peak width. It is given by</w:t>
      </w:r>
    </w:p>
    <w:p>
      <w:pPr>
        <w:pStyle w:val="BodyText"/>
        <w:spacing w:line="199" w:lineRule="auto" w:before="211"/>
        <w:ind w:left="583" w:right="617"/>
        <w:jc w:val="center"/>
        <w:rPr>
          <w:rFonts w:ascii="Symbola" w:hAnsi="Symbola" w:eastAsia="Symbola"/>
        </w:rPr>
      </w:pPr>
      <w:r>
        <w:rPr/>
        <w:pict>
          <v:rect style="position:absolute;margin-left:300.720001pt;margin-top:25.170425pt;width:22.92pt;height:.84pt;mso-position-horizontal-relative:page;mso-position-vertical-relative:paragraph;z-index:-18380288" filled="true" fillcolor="#000000" stroked="false">
            <v:fill type="solid"/>
            <w10:wrap type="none"/>
          </v:rect>
        </w:pict>
      </w:r>
      <w:r>
        <w:rPr>
          <w:rFonts w:ascii="Symbola" w:hAnsi="Symbola" w:eastAsia="Symbola"/>
          <w:position w:val="-17"/>
        </w:rPr>
        <w:t>𝑅𝑠 =</w:t>
      </w:r>
      <w:r>
        <w:rPr>
          <w:rFonts w:ascii="Symbola" w:hAnsi="Symbola" w:eastAsia="Symbola"/>
          <w:spacing w:val="-24"/>
          <w:position w:val="-17"/>
        </w:rPr>
        <w:t> </w:t>
      </w:r>
      <w:r>
        <w:rPr>
          <w:rFonts w:ascii="Symbola" w:hAnsi="Symbola" w:eastAsia="Symbola"/>
        </w:rPr>
        <w:t>⍙tR</w:t>
      </w:r>
    </w:p>
    <w:p>
      <w:pPr>
        <w:pStyle w:val="BodyText"/>
        <w:spacing w:line="203" w:lineRule="exact"/>
        <w:ind w:left="1178" w:right="617"/>
        <w:jc w:val="center"/>
        <w:rPr>
          <w:rFonts w:ascii="Symbola"/>
        </w:rPr>
      </w:pPr>
      <w:r>
        <w:rPr>
          <w:rFonts w:ascii="Symbola"/>
        </w:rPr>
        <w:t>Wav</w:t>
      </w:r>
    </w:p>
    <w:p>
      <w:pPr>
        <w:pStyle w:val="BodyText"/>
        <w:spacing w:before="8"/>
        <w:rPr>
          <w:rFonts w:ascii="Symbola"/>
          <w:sz w:val="19"/>
        </w:rPr>
      </w:pPr>
    </w:p>
    <w:p>
      <w:pPr>
        <w:pStyle w:val="BodyText"/>
        <w:spacing w:before="90"/>
        <w:ind w:left="300"/>
        <w:jc w:val="both"/>
      </w:pPr>
      <w:r>
        <w:rPr/>
        <w:t>When Rs=1, the separation of two peaks is 97.7% and a column with Rs more than</w:t>
      </w:r>
    </w:p>
    <w:p>
      <w:pPr>
        <w:pStyle w:val="BodyText"/>
        <w:spacing w:line="360" w:lineRule="auto" w:before="137"/>
        <w:ind w:left="300" w:right="314"/>
        <w:jc w:val="both"/>
      </w:pPr>
      <w:r>
        <w:rPr/>
        <w:t>1.5 considered good. The number of distribution events govern the ability of a column to separate the two analytes. In another words, resolution is directly proportional to the number of distribution events. </w:t>
      </w:r>
      <w:r>
        <w:rPr>
          <w:spacing w:val="-3"/>
        </w:rPr>
        <w:t>In </w:t>
      </w:r>
      <w:r>
        <w:rPr/>
        <w:t>column chromatography, each thin plain of column matrix participate in distribution of molecule. Assume height of a distribution plain is </w:t>
      </w:r>
      <w:r>
        <w:rPr>
          <w:b/>
        </w:rPr>
        <w:t>H </w:t>
      </w:r>
      <w:r>
        <w:rPr/>
        <w:t>and length of a column is </w:t>
      </w:r>
      <w:r>
        <w:rPr>
          <w:b/>
        </w:rPr>
        <w:t>L</w:t>
      </w:r>
      <w:r>
        <w:rPr/>
        <w:t>, hence number (</w:t>
      </w:r>
      <w:r>
        <w:rPr>
          <w:b/>
        </w:rPr>
        <w:t>N</w:t>
      </w:r>
      <w:r>
        <w:rPr/>
        <w:t>) of distribution plain in a column is given</w:t>
      </w:r>
      <w:r>
        <w:rPr>
          <w:spacing w:val="-1"/>
        </w:rPr>
        <w:t> </w:t>
      </w:r>
      <w:r>
        <w:rPr/>
        <w:t>by,</w:t>
      </w:r>
    </w:p>
    <w:p>
      <w:pPr>
        <w:pStyle w:val="BodyText"/>
        <w:spacing w:line="380" w:lineRule="exact" w:before="211"/>
        <w:ind w:left="579" w:right="617"/>
        <w:jc w:val="center"/>
        <w:rPr>
          <w:rFonts w:ascii="Symbola" w:eastAsia="Symbola"/>
        </w:rPr>
      </w:pPr>
      <w:r>
        <w:rPr/>
        <w:pict>
          <v:rect style="position:absolute;margin-left:305.880005pt;margin-top:25.120161pt;width:8.280pt;height:.84pt;mso-position-horizontal-relative:page;mso-position-vertical-relative:paragraph;z-index:-18379776" filled="true" fillcolor="#000000" stroked="false">
            <v:fill type="solid"/>
            <w10:wrap type="none"/>
          </v:rect>
        </w:pict>
      </w:r>
      <w:r>
        <w:rPr>
          <w:rFonts w:ascii="Symbola" w:eastAsia="Symbola"/>
          <w:w w:val="110"/>
        </w:rPr>
        <w:t>𝑁 </w:t>
      </w:r>
      <w:r>
        <w:rPr>
          <w:rFonts w:ascii="Symbola" w:eastAsia="Symbola"/>
          <w:w w:val="105"/>
        </w:rPr>
        <w:t>= </w:t>
      </w:r>
      <w:r>
        <w:rPr>
          <w:rFonts w:ascii="Symbola" w:eastAsia="Symbola"/>
          <w:w w:val="105"/>
          <w:position w:val="18"/>
        </w:rPr>
        <w:t>L</w:t>
      </w:r>
    </w:p>
    <w:p>
      <w:pPr>
        <w:pStyle w:val="BodyText"/>
        <w:spacing w:line="200" w:lineRule="exact"/>
        <w:ind w:left="473"/>
        <w:jc w:val="center"/>
        <w:rPr>
          <w:rFonts w:ascii="Symbola"/>
        </w:rPr>
      </w:pPr>
      <w:r>
        <w:rPr>
          <w:rFonts w:ascii="Symbola"/>
          <w:w w:val="95"/>
        </w:rPr>
        <w:t>H</w:t>
      </w:r>
    </w:p>
    <w:p>
      <w:pPr>
        <w:pStyle w:val="BodyText"/>
        <w:spacing w:before="6"/>
        <w:rPr>
          <w:rFonts w:ascii="Symbola"/>
          <w:sz w:val="28"/>
        </w:rPr>
      </w:pPr>
    </w:p>
    <w:p>
      <w:pPr>
        <w:pStyle w:val="BodyText"/>
        <w:spacing w:line="535" w:lineRule="auto"/>
        <w:ind w:left="3602" w:right="3621"/>
        <w:jc w:val="center"/>
      </w:pPr>
      <w:r>
        <w:rPr/>
        <w:t>N=16 (t</w:t>
      </w:r>
      <w:r>
        <w:rPr>
          <w:vertAlign w:val="subscript"/>
        </w:rPr>
        <w:t>R</w:t>
      </w:r>
      <w:r>
        <w:rPr>
          <w:vertAlign w:val="baseline"/>
        </w:rPr>
        <w:t>/W)</w:t>
      </w:r>
      <w:r>
        <w:rPr>
          <w:vertAlign w:val="superscript"/>
        </w:rPr>
        <w:t>2</w:t>
      </w:r>
      <w:r>
        <w:rPr>
          <w:vertAlign w:val="baseline"/>
        </w:rPr>
        <w:t> N=5.54 (t</w:t>
      </w:r>
      <w:r>
        <w:rPr>
          <w:vertAlign w:val="subscript"/>
        </w:rPr>
        <w:t>R</w:t>
      </w:r>
      <w:r>
        <w:rPr>
          <w:vertAlign w:val="baseline"/>
        </w:rPr>
        <w:t>/W</w:t>
      </w:r>
      <w:r>
        <w:rPr>
          <w:vertAlign w:val="subscript"/>
        </w:rPr>
        <w:t>1/2</w:t>
      </w:r>
      <w:r>
        <w:rPr>
          <w:vertAlign w:val="baseline"/>
        </w:rPr>
        <w:t>)</w:t>
      </w:r>
      <w:r>
        <w:rPr>
          <w:vertAlign w:val="superscript"/>
        </w:rPr>
        <w:t>2</w:t>
      </w:r>
    </w:p>
    <w:p>
      <w:pPr>
        <w:spacing w:after="0" w:line="535" w:lineRule="auto"/>
        <w:jc w:val="center"/>
        <w:sectPr>
          <w:pgSz w:w="11910" w:h="16840"/>
          <w:pgMar w:header="722" w:footer="748" w:top="1300" w:bottom="940" w:left="1500" w:right="1480"/>
        </w:sectPr>
      </w:pPr>
    </w:p>
    <w:p>
      <w:pPr>
        <w:pStyle w:val="BodyText"/>
        <w:spacing w:before="119"/>
        <w:ind w:left="300"/>
      </w:pPr>
      <w:r>
        <w:rPr/>
        <w:t>Hence, Number of distribution plain in a column is controlling two parameters:</w:t>
      </w:r>
    </w:p>
    <w:p>
      <w:pPr>
        <w:pStyle w:val="BodyText"/>
        <w:spacing w:before="5"/>
        <w:rPr>
          <w:sz w:val="29"/>
        </w:rPr>
      </w:pPr>
    </w:p>
    <w:p>
      <w:pPr>
        <w:pStyle w:val="ListParagraph"/>
        <w:numPr>
          <w:ilvl w:val="0"/>
          <w:numId w:val="30"/>
        </w:numPr>
        <w:tabs>
          <w:tab w:pos="660" w:val="left" w:leader="none"/>
        </w:tabs>
        <w:spacing w:line="360" w:lineRule="auto" w:before="0" w:after="0"/>
        <w:ind w:left="300" w:right="318" w:firstLine="0"/>
        <w:jc w:val="both"/>
        <w:rPr>
          <w:sz w:val="24"/>
        </w:rPr>
      </w:pPr>
      <w:r>
        <w:rPr>
          <w:sz w:val="24"/>
        </w:rPr>
        <w:t>As number of distribution plain will go up, it will allow the analyte to travel for longer period of time, consequently it will increase the distance between two</w:t>
      </w:r>
      <w:r>
        <w:rPr>
          <w:spacing w:val="-18"/>
          <w:sz w:val="24"/>
        </w:rPr>
        <w:t> </w:t>
      </w:r>
      <w:r>
        <w:rPr>
          <w:sz w:val="24"/>
        </w:rPr>
        <w:t>peaks.</w:t>
      </w:r>
    </w:p>
    <w:p>
      <w:pPr>
        <w:pStyle w:val="ListParagraph"/>
        <w:numPr>
          <w:ilvl w:val="0"/>
          <w:numId w:val="30"/>
        </w:numPr>
        <w:tabs>
          <w:tab w:pos="646" w:val="left" w:leader="none"/>
        </w:tabs>
        <w:spacing w:line="360" w:lineRule="auto" w:before="200" w:after="0"/>
        <w:ind w:left="299" w:right="316" w:firstLine="0"/>
        <w:jc w:val="both"/>
        <w:rPr>
          <w:sz w:val="24"/>
        </w:rPr>
      </w:pPr>
      <w:r>
        <w:rPr>
          <w:sz w:val="24"/>
        </w:rPr>
        <w:t>As number of distribution plain will go up, it will reduce the width of the base of peak, as a result the peaks will be more sharp. A representative example, how number of distribution plain affects the base of the peak is given in Figure 28.5. As the number is increasing, the peak width is decreasing. Hence, number of distribution is an indirect way to measure the column efficiency, higher N number is desirable for better</w:t>
      </w:r>
      <w:r>
        <w:rPr>
          <w:spacing w:val="-2"/>
          <w:sz w:val="24"/>
        </w:rPr>
        <w:t> </w:t>
      </w:r>
      <w:r>
        <w:rPr>
          <w:sz w:val="24"/>
        </w:rPr>
        <w:t>separation.</w:t>
      </w:r>
    </w:p>
    <w:p>
      <w:pPr>
        <w:pStyle w:val="BodyText"/>
        <w:spacing w:before="6"/>
        <w:rPr>
          <w:sz w:val="14"/>
        </w:rPr>
      </w:pPr>
      <w:r>
        <w:rPr/>
        <w:drawing>
          <wp:anchor distT="0" distB="0" distL="0" distR="0" allowOverlap="1" layoutInCell="1" locked="0" behindDoc="0" simplePos="0" relativeHeight="312">
            <wp:simplePos x="0" y="0"/>
            <wp:positionH relativeFrom="page">
              <wp:posOffset>1145609</wp:posOffset>
            </wp:positionH>
            <wp:positionV relativeFrom="paragraph">
              <wp:posOffset>131244</wp:posOffset>
            </wp:positionV>
            <wp:extent cx="5275083" cy="3054096"/>
            <wp:effectExtent l="0" t="0" r="0" b="0"/>
            <wp:wrapTopAndBottom/>
            <wp:docPr id="313" name="image161.png"/>
            <wp:cNvGraphicFramePr>
              <a:graphicFrameLocks noChangeAspect="1"/>
            </wp:cNvGraphicFramePr>
            <a:graphic>
              <a:graphicData uri="http://schemas.openxmlformats.org/drawingml/2006/picture">
                <pic:pic>
                  <pic:nvPicPr>
                    <pic:cNvPr id="314" name="image161.png"/>
                    <pic:cNvPicPr/>
                  </pic:nvPicPr>
                  <pic:blipFill>
                    <a:blip r:embed="rId175" cstate="print"/>
                    <a:stretch>
                      <a:fillRect/>
                    </a:stretch>
                  </pic:blipFill>
                  <pic:spPr>
                    <a:xfrm>
                      <a:off x="0" y="0"/>
                      <a:ext cx="5275083" cy="3054096"/>
                    </a:xfrm>
                    <a:prstGeom prst="rect">
                      <a:avLst/>
                    </a:prstGeom>
                  </pic:spPr>
                </pic:pic>
              </a:graphicData>
            </a:graphic>
          </wp:anchor>
        </w:drawing>
      </w:r>
    </w:p>
    <w:p>
      <w:pPr>
        <w:pStyle w:val="BodyText"/>
        <w:spacing w:before="1"/>
        <w:rPr>
          <w:sz w:val="28"/>
        </w:rPr>
      </w:pPr>
    </w:p>
    <w:p>
      <w:pPr>
        <w:spacing w:before="1"/>
        <w:ind w:left="597" w:right="617" w:firstLine="0"/>
        <w:jc w:val="center"/>
        <w:rPr>
          <w:b/>
          <w:sz w:val="16"/>
        </w:rPr>
      </w:pPr>
      <w:r>
        <w:rPr>
          <w:b/>
          <w:sz w:val="16"/>
        </w:rPr>
        <w:t>Figure 28.5: Relationship between number of distribution planes (N) and peak width.</w:t>
      </w:r>
    </w:p>
    <w:p>
      <w:pPr>
        <w:pStyle w:val="BodyText"/>
        <w:rPr>
          <w:b/>
          <w:sz w:val="18"/>
        </w:rPr>
      </w:pPr>
    </w:p>
    <w:p>
      <w:pPr>
        <w:pStyle w:val="BodyText"/>
        <w:spacing w:before="8"/>
        <w:rPr>
          <w:b/>
          <w:sz w:val="18"/>
        </w:rPr>
      </w:pPr>
    </w:p>
    <w:p>
      <w:pPr>
        <w:spacing w:line="360" w:lineRule="auto" w:before="1"/>
        <w:ind w:left="300" w:right="0" w:firstLine="0"/>
        <w:jc w:val="left"/>
        <w:rPr>
          <w:sz w:val="24"/>
        </w:rPr>
      </w:pPr>
      <w:r>
        <w:rPr>
          <w:b/>
          <w:sz w:val="24"/>
        </w:rPr>
        <w:t>Different components of chromatography system: </w:t>
      </w:r>
      <w:r>
        <w:rPr>
          <w:sz w:val="24"/>
        </w:rPr>
        <w:t>The different components of a chromatography system are given in Figure 28.6. It has following components:</w:t>
      </w:r>
    </w:p>
    <w:p>
      <w:pPr>
        <w:pStyle w:val="ListParagraph"/>
        <w:numPr>
          <w:ilvl w:val="0"/>
          <w:numId w:val="31"/>
        </w:numPr>
        <w:tabs>
          <w:tab w:pos="540" w:val="left" w:leader="none"/>
        </w:tabs>
        <w:spacing w:line="240" w:lineRule="auto" w:before="199" w:after="0"/>
        <w:ind w:left="540" w:right="0" w:hanging="241"/>
        <w:jc w:val="both"/>
        <w:rPr>
          <w:sz w:val="24"/>
        </w:rPr>
      </w:pPr>
      <w:r>
        <w:rPr>
          <w:sz w:val="24"/>
        </w:rPr>
        <w:t>Reservoir: One or two reservoir for mobile phase</w:t>
      </w:r>
      <w:r>
        <w:rPr>
          <w:spacing w:val="-4"/>
          <w:sz w:val="24"/>
        </w:rPr>
        <w:t> </w:t>
      </w:r>
      <w:r>
        <w:rPr>
          <w:sz w:val="24"/>
        </w:rPr>
        <w:t>(buffer).</w:t>
      </w:r>
    </w:p>
    <w:p>
      <w:pPr>
        <w:pStyle w:val="BodyText"/>
        <w:spacing w:before="5"/>
        <w:rPr>
          <w:sz w:val="29"/>
        </w:rPr>
      </w:pPr>
    </w:p>
    <w:p>
      <w:pPr>
        <w:pStyle w:val="ListParagraph"/>
        <w:numPr>
          <w:ilvl w:val="0"/>
          <w:numId w:val="31"/>
        </w:numPr>
        <w:tabs>
          <w:tab w:pos="588" w:val="left" w:leader="none"/>
        </w:tabs>
        <w:spacing w:line="360" w:lineRule="auto" w:before="0" w:after="0"/>
        <w:ind w:left="299" w:right="317" w:firstLine="0"/>
        <w:jc w:val="both"/>
        <w:rPr>
          <w:sz w:val="24"/>
        </w:rPr>
      </w:pPr>
      <w:r>
        <w:rPr>
          <w:sz w:val="24"/>
        </w:rPr>
        <w:t>Pump: One or two pump to flow the buffer from reservoir. Different types of pumps are used in chromatography system, mostly based on the pressure level required to perform chromatography. A pump is chosen as per the pressure required to run the mobile phase. Based on the pressure level, liquid chromatography can be classified into the following</w:t>
      </w:r>
      <w:r>
        <w:rPr>
          <w:spacing w:val="-5"/>
          <w:sz w:val="24"/>
        </w:rPr>
        <w:t> </w:t>
      </w:r>
      <w:r>
        <w:rPr>
          <w:sz w:val="24"/>
        </w:rPr>
        <w:t>categories:</w:t>
      </w:r>
    </w:p>
    <w:p>
      <w:pPr>
        <w:spacing w:after="0" w:line="360" w:lineRule="auto"/>
        <w:jc w:val="both"/>
        <w:rPr>
          <w:sz w:val="24"/>
        </w:rPr>
        <w:sectPr>
          <w:pgSz w:w="11910" w:h="16840"/>
          <w:pgMar w:header="722" w:footer="748" w:top="1300" w:bottom="940" w:left="1500" w:right="1480"/>
        </w:sectPr>
      </w:pPr>
    </w:p>
    <w:p>
      <w:pPr>
        <w:spacing w:before="119"/>
        <w:ind w:left="300" w:right="0" w:firstLine="0"/>
        <w:jc w:val="both"/>
        <w:rPr>
          <w:sz w:val="24"/>
        </w:rPr>
      </w:pPr>
      <w:r>
        <w:rPr>
          <w:b/>
          <w:sz w:val="24"/>
        </w:rPr>
        <w:t>Low Pressure Liquid Chromatography: </w:t>
      </w:r>
      <w:r>
        <w:rPr>
          <w:sz w:val="24"/>
        </w:rPr>
        <w:t>Pressure limit less than 5 Bar.</w:t>
      </w:r>
    </w:p>
    <w:p>
      <w:pPr>
        <w:pStyle w:val="BodyText"/>
        <w:spacing w:before="5"/>
        <w:rPr>
          <w:sz w:val="29"/>
        </w:rPr>
      </w:pPr>
    </w:p>
    <w:p>
      <w:pPr>
        <w:spacing w:before="0"/>
        <w:ind w:left="299" w:right="0" w:firstLine="0"/>
        <w:jc w:val="both"/>
        <w:rPr>
          <w:sz w:val="24"/>
        </w:rPr>
      </w:pPr>
      <w:r>
        <w:rPr>
          <w:b/>
          <w:sz w:val="24"/>
        </w:rPr>
        <w:t>Medium Pressure Liquid Chromatography: </w:t>
      </w:r>
      <w:r>
        <w:rPr>
          <w:sz w:val="24"/>
        </w:rPr>
        <w:t>Intermediate pressure limit (6-50 bar).</w:t>
      </w:r>
    </w:p>
    <w:p>
      <w:pPr>
        <w:pStyle w:val="BodyText"/>
        <w:spacing w:before="5"/>
        <w:rPr>
          <w:sz w:val="29"/>
        </w:rPr>
      </w:pPr>
    </w:p>
    <w:p>
      <w:pPr>
        <w:pStyle w:val="BodyText"/>
        <w:spacing w:line="360" w:lineRule="auto"/>
        <w:ind w:left="299" w:right="316"/>
        <w:jc w:val="both"/>
      </w:pPr>
      <w:r>
        <w:rPr>
          <w:b/>
        </w:rPr>
        <w:t>High Pressure Liquid Chromatography: </w:t>
      </w:r>
      <w:r>
        <w:rPr/>
        <w:t>Pressure limit more than 50-350 bar. A typical polysaccharide bead is not appropriate to withstand high pressure during HPLC. Hence, in HPLC silica based beads are recommended. Due to high pressure and smaller size of the silica beads gives higher number of theoretical plates. This gives HPLC superior resolving power to separate complex biological samples.</w:t>
      </w:r>
    </w:p>
    <w:p>
      <w:pPr>
        <w:pStyle w:val="ListParagraph"/>
        <w:numPr>
          <w:ilvl w:val="0"/>
          <w:numId w:val="31"/>
        </w:numPr>
        <w:tabs>
          <w:tab w:pos="557" w:val="left" w:leader="none"/>
        </w:tabs>
        <w:spacing w:line="360" w:lineRule="auto" w:before="198" w:after="0"/>
        <w:ind w:left="299" w:right="317" w:firstLine="0"/>
        <w:jc w:val="both"/>
        <w:rPr>
          <w:sz w:val="24"/>
        </w:rPr>
      </w:pPr>
      <w:r>
        <w:rPr>
          <w:sz w:val="24"/>
        </w:rPr>
        <w:t>Mixer: A mixer is required to mix the buffer received from both pumps to form a linear or step</w:t>
      </w:r>
      <w:r>
        <w:rPr>
          <w:spacing w:val="-1"/>
          <w:sz w:val="24"/>
        </w:rPr>
        <w:t> </w:t>
      </w:r>
      <w:r>
        <w:rPr>
          <w:sz w:val="24"/>
        </w:rPr>
        <w:t>gradient.</w:t>
      </w:r>
    </w:p>
    <w:p>
      <w:pPr>
        <w:pStyle w:val="ListParagraph"/>
        <w:numPr>
          <w:ilvl w:val="0"/>
          <w:numId w:val="31"/>
        </w:numPr>
        <w:tabs>
          <w:tab w:pos="540" w:val="left" w:leader="none"/>
        </w:tabs>
        <w:spacing w:line="240" w:lineRule="auto" w:before="202" w:after="0"/>
        <w:ind w:left="540" w:right="0" w:hanging="241"/>
        <w:jc w:val="both"/>
        <w:rPr>
          <w:sz w:val="24"/>
        </w:rPr>
      </w:pPr>
      <w:r>
        <w:rPr>
          <w:sz w:val="24"/>
        </w:rPr>
        <w:t>Column: A column made up of glass or</w:t>
      </w:r>
      <w:r>
        <w:rPr>
          <w:spacing w:val="-3"/>
          <w:sz w:val="24"/>
        </w:rPr>
        <w:t> </w:t>
      </w:r>
      <w:r>
        <w:rPr>
          <w:sz w:val="24"/>
        </w:rPr>
        <w:t>steel.</w:t>
      </w:r>
    </w:p>
    <w:p>
      <w:pPr>
        <w:pStyle w:val="BodyText"/>
        <w:spacing w:before="5"/>
        <w:rPr>
          <w:sz w:val="29"/>
        </w:rPr>
      </w:pPr>
    </w:p>
    <w:p>
      <w:pPr>
        <w:pStyle w:val="ListParagraph"/>
        <w:numPr>
          <w:ilvl w:val="0"/>
          <w:numId w:val="31"/>
        </w:numPr>
        <w:tabs>
          <w:tab w:pos="596" w:val="left" w:leader="none"/>
        </w:tabs>
        <w:spacing w:line="360" w:lineRule="auto" w:before="0" w:after="0"/>
        <w:ind w:left="299" w:right="316" w:firstLine="0"/>
        <w:jc w:val="both"/>
        <w:rPr>
          <w:sz w:val="24"/>
        </w:rPr>
      </w:pPr>
      <w:r>
        <w:rPr>
          <w:sz w:val="24"/>
        </w:rPr>
        <w:t>Detector: The elution coming out from column goes to the online monitoring system to test the presence of the analyte based on different properties. There are different types of detectors are known in chromatography such as UV-Visible detector etc.</w:t>
      </w:r>
    </w:p>
    <w:p>
      <w:pPr>
        <w:pStyle w:val="ListParagraph"/>
        <w:numPr>
          <w:ilvl w:val="0"/>
          <w:numId w:val="31"/>
        </w:numPr>
        <w:tabs>
          <w:tab w:pos="550" w:val="left" w:leader="none"/>
        </w:tabs>
        <w:spacing w:line="360" w:lineRule="auto" w:before="199" w:after="0"/>
        <w:ind w:left="299" w:right="318" w:firstLine="0"/>
        <w:jc w:val="both"/>
        <w:rPr>
          <w:sz w:val="24"/>
        </w:rPr>
      </w:pPr>
      <w:r>
        <w:rPr>
          <w:sz w:val="24"/>
        </w:rPr>
        <w:t>Fraction Collection- The eluent can be collected in different fractions by a fraction collector.</w:t>
      </w:r>
    </w:p>
    <w:p>
      <w:pPr>
        <w:pStyle w:val="ListParagraph"/>
        <w:numPr>
          <w:ilvl w:val="0"/>
          <w:numId w:val="31"/>
        </w:numPr>
        <w:tabs>
          <w:tab w:pos="552" w:val="left" w:leader="none"/>
        </w:tabs>
        <w:spacing w:line="360" w:lineRule="auto" w:before="200" w:after="0"/>
        <w:ind w:left="299" w:right="318" w:firstLine="0"/>
        <w:jc w:val="both"/>
        <w:rPr>
          <w:sz w:val="24"/>
        </w:rPr>
      </w:pPr>
      <w:r>
        <w:rPr>
          <w:sz w:val="24"/>
        </w:rPr>
        <w:t>Recorder: The profile of eluent with respect to the measured property in a detector can be plotted in the</w:t>
      </w:r>
      <w:r>
        <w:rPr>
          <w:spacing w:val="-3"/>
          <w:sz w:val="24"/>
        </w:rPr>
        <w:t> </w:t>
      </w:r>
      <w:r>
        <w:rPr>
          <w:sz w:val="24"/>
        </w:rPr>
        <w:t>recorder.</w:t>
      </w:r>
    </w:p>
    <w:p>
      <w:pPr>
        <w:pStyle w:val="BodyText"/>
        <w:spacing w:before="6"/>
        <w:rPr>
          <w:sz w:val="14"/>
        </w:rPr>
      </w:pPr>
      <w:r>
        <w:rPr/>
        <w:drawing>
          <wp:anchor distT="0" distB="0" distL="0" distR="0" allowOverlap="1" layoutInCell="1" locked="0" behindDoc="0" simplePos="0" relativeHeight="313">
            <wp:simplePos x="0" y="0"/>
            <wp:positionH relativeFrom="page">
              <wp:posOffset>1212557</wp:posOffset>
            </wp:positionH>
            <wp:positionV relativeFrom="paragraph">
              <wp:posOffset>130996</wp:posOffset>
            </wp:positionV>
            <wp:extent cx="5148683" cy="1932432"/>
            <wp:effectExtent l="0" t="0" r="0" b="0"/>
            <wp:wrapTopAndBottom/>
            <wp:docPr id="315" name="image162.png"/>
            <wp:cNvGraphicFramePr>
              <a:graphicFrameLocks noChangeAspect="1"/>
            </wp:cNvGraphicFramePr>
            <a:graphic>
              <a:graphicData uri="http://schemas.openxmlformats.org/drawingml/2006/picture">
                <pic:pic>
                  <pic:nvPicPr>
                    <pic:cNvPr id="316" name="image162.png"/>
                    <pic:cNvPicPr/>
                  </pic:nvPicPr>
                  <pic:blipFill>
                    <a:blip r:embed="rId176" cstate="print"/>
                    <a:stretch>
                      <a:fillRect/>
                    </a:stretch>
                  </pic:blipFill>
                  <pic:spPr>
                    <a:xfrm>
                      <a:off x="0" y="0"/>
                      <a:ext cx="5148683" cy="1932432"/>
                    </a:xfrm>
                    <a:prstGeom prst="rect">
                      <a:avLst/>
                    </a:prstGeom>
                  </pic:spPr>
                </pic:pic>
              </a:graphicData>
            </a:graphic>
          </wp:anchor>
        </w:drawing>
      </w:r>
    </w:p>
    <w:p>
      <w:pPr>
        <w:pStyle w:val="BodyText"/>
        <w:spacing w:before="11"/>
        <w:rPr>
          <w:sz w:val="27"/>
        </w:rPr>
      </w:pPr>
    </w:p>
    <w:p>
      <w:pPr>
        <w:spacing w:before="0"/>
        <w:ind w:left="595" w:right="617" w:firstLine="0"/>
        <w:jc w:val="center"/>
        <w:rPr>
          <w:b/>
          <w:sz w:val="16"/>
        </w:rPr>
      </w:pPr>
      <w:r>
        <w:rPr>
          <w:b/>
          <w:sz w:val="16"/>
        </w:rPr>
        <w:t>Figure 28.6: Different components of a chromatography system.</w:t>
      </w:r>
    </w:p>
    <w:p>
      <w:pPr>
        <w:spacing w:after="0"/>
        <w:jc w:val="center"/>
        <w:rPr>
          <w:sz w:val="16"/>
        </w:rPr>
        <w:sectPr>
          <w:pgSz w:w="11910" w:h="16840"/>
          <w:pgMar w:header="722" w:footer="748" w:top="1300" w:bottom="940" w:left="1500" w:right="1480"/>
        </w:sectPr>
      </w:pPr>
    </w:p>
    <w:p>
      <w:pPr>
        <w:pStyle w:val="Heading4"/>
        <w:spacing w:before="124"/>
      </w:pPr>
      <w:r>
        <w:rPr/>
        <w:t>Different forms of chromatography:</w:t>
      </w:r>
    </w:p>
    <w:p>
      <w:pPr>
        <w:pStyle w:val="BodyText"/>
        <w:spacing w:before="8"/>
        <w:rPr>
          <w:b/>
          <w:sz w:val="20"/>
        </w:rPr>
      </w:pPr>
    </w:p>
    <w:p>
      <w:pPr>
        <w:pStyle w:val="BodyText"/>
        <w:spacing w:line="360" w:lineRule="auto"/>
        <w:ind w:left="299" w:right="317"/>
        <w:jc w:val="both"/>
      </w:pPr>
      <w:r>
        <w:rPr>
          <w:b/>
        </w:rPr>
        <w:t>Partition Chromatography: </w:t>
      </w:r>
      <w:r>
        <w:rPr/>
        <w:t>In this form of chromatography, an analyte distribute themselves into two phases, liquid stationary and mobile phase. The major advantage of this chromatography is that it is simple, low cost and has broad specificity. It is further divided into liquid-liquid chromatography and bonded-phase liquid chromatography. The example of this chromatography is cellulose, starch or silica matrix.</w:t>
      </w:r>
    </w:p>
    <w:p>
      <w:pPr>
        <w:pStyle w:val="BodyText"/>
        <w:spacing w:line="360" w:lineRule="auto" w:before="199"/>
        <w:ind w:left="299" w:right="316"/>
        <w:jc w:val="both"/>
      </w:pPr>
      <w:r>
        <w:rPr>
          <w:b/>
        </w:rPr>
        <w:t>Adsorption Chromatography: </w:t>
      </w:r>
      <w:r>
        <w:rPr/>
        <w:t>In this form of chromatography, matrix molecule has ability to hold the analyte on their surface through a mutual interaction due to different types of forces such as hydrogen bonding, electrostatic interaction, vander waal etc. The example are ion-exchange chromatography, hydrophobic interaction chromatography, affinity chromatography</w:t>
      </w:r>
      <w:r>
        <w:rPr>
          <w:spacing w:val="-5"/>
        </w:rPr>
        <w:t> </w:t>
      </w:r>
      <w:r>
        <w:rPr/>
        <w:t>etc.</w:t>
      </w:r>
    </w:p>
    <w:p>
      <w:pPr>
        <w:spacing w:after="0" w:line="360" w:lineRule="auto"/>
        <w:jc w:val="both"/>
        <w:sectPr>
          <w:pgSz w:w="11910" w:h="16840"/>
          <w:pgMar w:header="722" w:footer="748" w:top="1300" w:bottom="940" w:left="1500" w:right="1480"/>
        </w:sectPr>
      </w:pPr>
    </w:p>
    <w:p>
      <w:pPr>
        <w:spacing w:before="124"/>
        <w:ind w:left="300" w:right="0" w:firstLine="0"/>
        <w:jc w:val="both"/>
        <w:rPr>
          <w:b/>
          <w:sz w:val="32"/>
        </w:rPr>
      </w:pPr>
      <w:r>
        <w:rPr>
          <w:b/>
          <w:sz w:val="32"/>
        </w:rPr>
        <w:t>Lecture 29: Ion-Exchange Chromatography-I</w:t>
      </w:r>
    </w:p>
    <w:p>
      <w:pPr>
        <w:pStyle w:val="BodyText"/>
        <w:spacing w:line="360" w:lineRule="auto" w:before="251"/>
        <w:ind w:left="299" w:right="316"/>
        <w:jc w:val="both"/>
      </w:pPr>
      <w:r>
        <w:rPr>
          <w:b/>
        </w:rPr>
        <w:t>Ion exchange chromatography: </w:t>
      </w:r>
      <w:r>
        <w:rPr/>
        <w:t>Ion-exchange chromatography is a versatile, high resolution chromatography techniques to purify the protein from a complex mixture. In addition, this chromatography has a high loading capacity to handle large sample volume and the chromatography operation is very</w:t>
      </w:r>
      <w:r>
        <w:rPr>
          <w:spacing w:val="-10"/>
        </w:rPr>
        <w:t> </w:t>
      </w:r>
      <w:r>
        <w:rPr/>
        <w:t>simple.</w:t>
      </w:r>
    </w:p>
    <w:p>
      <w:pPr>
        <w:pStyle w:val="BodyText"/>
        <w:spacing w:line="360" w:lineRule="auto" w:before="200"/>
        <w:ind w:left="299" w:right="315"/>
        <w:jc w:val="both"/>
      </w:pPr>
      <w:r>
        <w:rPr>
          <w:b/>
        </w:rPr>
        <w:t>Principle: </w:t>
      </w:r>
      <w:r>
        <w:rPr/>
        <w:t>This chromatography distributes the analyte molecule as per charge and their affinity towards the oppositively charged matrix. The analytes bound to the matrix are exchanged with a competitive counter ion to elute. The interaction between matrix and analyte is determined by net charge, ionic strength and pH of the buffer. For example, when a mixture of positively charged analyte (M, M</w:t>
      </w:r>
      <w:r>
        <w:rPr>
          <w:vertAlign w:val="superscript"/>
        </w:rPr>
        <w:t>+</w:t>
      </w:r>
      <w:r>
        <w:rPr>
          <w:vertAlign w:val="baseline"/>
        </w:rPr>
        <w:t>, M</w:t>
      </w:r>
      <w:r>
        <w:rPr>
          <w:vertAlign w:val="superscript"/>
        </w:rPr>
        <w:t>-1</w:t>
      </w:r>
      <w:r>
        <w:rPr>
          <w:vertAlign w:val="baseline"/>
        </w:rPr>
        <w:t>, M</w:t>
      </w:r>
      <w:r>
        <w:rPr>
          <w:vertAlign w:val="superscript"/>
        </w:rPr>
        <w:t>-2</w:t>
      </w:r>
      <w:r>
        <w:rPr>
          <w:vertAlign w:val="baseline"/>
        </w:rPr>
        <w:t>) loaded onto a positively charged matrix, the neutral or positively charged analyte will not bind to the matrix where as negatively charged analyte will bind as per their relative charge and needed higher concentration of counter ion to elute from matrix (Figure 29.1).</w:t>
      </w:r>
    </w:p>
    <w:p>
      <w:pPr>
        <w:pStyle w:val="BodyText"/>
        <w:spacing w:before="6"/>
        <w:rPr>
          <w:sz w:val="14"/>
        </w:rPr>
      </w:pPr>
      <w:r>
        <w:rPr/>
        <w:drawing>
          <wp:anchor distT="0" distB="0" distL="0" distR="0" allowOverlap="1" layoutInCell="1" locked="0" behindDoc="0" simplePos="0" relativeHeight="314">
            <wp:simplePos x="0" y="0"/>
            <wp:positionH relativeFrom="page">
              <wp:posOffset>1209207</wp:posOffset>
            </wp:positionH>
            <wp:positionV relativeFrom="paragraph">
              <wp:posOffset>131114</wp:posOffset>
            </wp:positionV>
            <wp:extent cx="5145992" cy="2462784"/>
            <wp:effectExtent l="0" t="0" r="0" b="0"/>
            <wp:wrapTopAndBottom/>
            <wp:docPr id="317" name="image163.png"/>
            <wp:cNvGraphicFramePr>
              <a:graphicFrameLocks noChangeAspect="1"/>
            </wp:cNvGraphicFramePr>
            <a:graphic>
              <a:graphicData uri="http://schemas.openxmlformats.org/drawingml/2006/picture">
                <pic:pic>
                  <pic:nvPicPr>
                    <pic:cNvPr id="318" name="image163.png"/>
                    <pic:cNvPicPr/>
                  </pic:nvPicPr>
                  <pic:blipFill>
                    <a:blip r:embed="rId177" cstate="print"/>
                    <a:stretch>
                      <a:fillRect/>
                    </a:stretch>
                  </pic:blipFill>
                  <pic:spPr>
                    <a:xfrm>
                      <a:off x="0" y="0"/>
                      <a:ext cx="5145992" cy="2462784"/>
                    </a:xfrm>
                    <a:prstGeom prst="rect">
                      <a:avLst/>
                    </a:prstGeom>
                  </pic:spPr>
                </pic:pic>
              </a:graphicData>
            </a:graphic>
          </wp:anchor>
        </w:drawing>
      </w:r>
    </w:p>
    <w:p>
      <w:pPr>
        <w:pStyle w:val="BodyText"/>
        <w:spacing w:before="9"/>
        <w:rPr>
          <w:sz w:val="36"/>
        </w:rPr>
      </w:pPr>
    </w:p>
    <w:p>
      <w:pPr>
        <w:spacing w:before="1"/>
        <w:ind w:left="601" w:right="617" w:firstLine="0"/>
        <w:jc w:val="center"/>
        <w:rPr>
          <w:b/>
          <w:sz w:val="16"/>
        </w:rPr>
      </w:pPr>
      <w:r>
        <w:rPr>
          <w:b/>
          <w:sz w:val="16"/>
        </w:rPr>
        <w:t>Figure 29.1: Affinity of analytes (M, M</w:t>
      </w:r>
      <w:r>
        <w:rPr>
          <w:b/>
          <w:sz w:val="16"/>
          <w:vertAlign w:val="superscript"/>
        </w:rPr>
        <w:t>+</w:t>
      </w:r>
      <w:r>
        <w:rPr>
          <w:b/>
          <w:sz w:val="16"/>
          <w:vertAlign w:val="baseline"/>
        </w:rPr>
        <w:t>, M</w:t>
      </w:r>
      <w:r>
        <w:rPr>
          <w:b/>
          <w:sz w:val="16"/>
          <w:vertAlign w:val="superscript"/>
        </w:rPr>
        <w:t>-1</w:t>
      </w:r>
      <w:r>
        <w:rPr>
          <w:b/>
          <w:sz w:val="16"/>
          <w:vertAlign w:val="baseline"/>
        </w:rPr>
        <w:t>, M</w:t>
      </w:r>
      <w:r>
        <w:rPr>
          <w:b/>
          <w:sz w:val="16"/>
          <w:vertAlign w:val="superscript"/>
        </w:rPr>
        <w:t>-2</w:t>
      </w:r>
      <w:r>
        <w:rPr>
          <w:b/>
          <w:sz w:val="16"/>
          <w:vertAlign w:val="baseline"/>
        </w:rPr>
        <w:t>) towards positively charged matrix.</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5"/>
        <w:jc w:val="both"/>
      </w:pPr>
      <w:r>
        <w:rPr/>
        <w:t>The matrix used in ion-exchange chromatography is present in the ionized form with reversibly bound ion to the matrix. The ion present on matrix participitate in the reversible exchange process with analyte. Hence, there are two types of ion-exchange chromatography:</w:t>
      </w:r>
    </w:p>
    <w:p>
      <w:pPr>
        <w:pStyle w:val="ListParagraph"/>
        <w:numPr>
          <w:ilvl w:val="0"/>
          <w:numId w:val="32"/>
        </w:numPr>
        <w:tabs>
          <w:tab w:pos="572" w:val="left" w:leader="none"/>
        </w:tabs>
        <w:spacing w:line="360" w:lineRule="auto" w:before="200" w:after="0"/>
        <w:ind w:left="300" w:right="318" w:firstLine="0"/>
        <w:jc w:val="both"/>
        <w:rPr>
          <w:sz w:val="24"/>
        </w:rPr>
      </w:pPr>
      <w:r>
        <w:rPr>
          <w:b/>
          <w:sz w:val="24"/>
        </w:rPr>
        <w:t>Cation exchange chromatography- </w:t>
      </w:r>
      <w:r>
        <w:rPr>
          <w:sz w:val="24"/>
        </w:rPr>
        <w:t>In cation exchange chromatography, matrix has a negatively charged functional group with a affinity towards positively charged molecules. The positively charged analyte replaces the reversible bound cation and binds to the matrix (Figure 29.2). In the presence of a strong cation (such as Na</w:t>
      </w:r>
      <w:r>
        <w:rPr>
          <w:sz w:val="24"/>
          <w:vertAlign w:val="superscript"/>
        </w:rPr>
        <w:t>+</w:t>
      </w:r>
      <w:r>
        <w:rPr>
          <w:sz w:val="24"/>
          <w:vertAlign w:val="baseline"/>
        </w:rPr>
        <w:t>) in the mobile phase, the matrix bound positively charged analyte is replaced with the elution of analyte. The popular cation exchangers used are given in Table</w:t>
      </w:r>
      <w:r>
        <w:rPr>
          <w:spacing w:val="-6"/>
          <w:sz w:val="24"/>
          <w:vertAlign w:val="baseline"/>
        </w:rPr>
        <w:t> </w:t>
      </w:r>
      <w:r>
        <w:rPr>
          <w:sz w:val="24"/>
          <w:vertAlign w:val="baseline"/>
        </w:rPr>
        <w:t>29.1.</w:t>
      </w:r>
    </w:p>
    <w:p>
      <w:pPr>
        <w:pStyle w:val="ListParagraph"/>
        <w:numPr>
          <w:ilvl w:val="0"/>
          <w:numId w:val="32"/>
        </w:numPr>
        <w:tabs>
          <w:tab w:pos="581" w:val="left" w:leader="none"/>
        </w:tabs>
        <w:spacing w:line="360" w:lineRule="auto" w:before="201" w:after="0"/>
        <w:ind w:left="300" w:right="318" w:firstLine="0"/>
        <w:jc w:val="both"/>
        <w:rPr>
          <w:sz w:val="24"/>
        </w:rPr>
      </w:pPr>
      <w:r>
        <w:rPr>
          <w:b/>
          <w:sz w:val="24"/>
        </w:rPr>
        <w:t>Anion Exchange chromatography- </w:t>
      </w:r>
      <w:r>
        <w:rPr>
          <w:sz w:val="24"/>
        </w:rPr>
        <w:t>In anion exchange chromatography, matrix has a positively charged functional group with a affinity towards negatively charged molecules. The negatively charged analyte replaces the reversible bound anion and binds to the matrix (Figure 29.2, B). In the presence of a strong anion (such as Cl</w:t>
      </w:r>
      <w:r>
        <w:rPr>
          <w:sz w:val="24"/>
          <w:vertAlign w:val="superscript"/>
        </w:rPr>
        <w:t>-</w:t>
      </w:r>
      <w:r>
        <w:rPr>
          <w:sz w:val="24"/>
          <w:vertAlign w:val="baseline"/>
        </w:rPr>
        <w:t>) in the mobile phase, the matrix bound negatively charged analyte is replaced with the elution of analyte. The popular anion exchangers used are given in Table</w:t>
      </w:r>
      <w:r>
        <w:rPr>
          <w:spacing w:val="-10"/>
          <w:sz w:val="24"/>
          <w:vertAlign w:val="baseline"/>
        </w:rPr>
        <w:t> </w:t>
      </w:r>
      <w:r>
        <w:rPr>
          <w:sz w:val="24"/>
          <w:vertAlign w:val="baseline"/>
        </w:rPr>
        <w:t>29.1.</w:t>
      </w:r>
    </w:p>
    <w:p>
      <w:pPr>
        <w:pStyle w:val="BodyText"/>
        <w:spacing w:before="10"/>
        <w:rPr>
          <w:sz w:val="17"/>
        </w:rPr>
      </w:pPr>
    </w:p>
    <w:tbl>
      <w:tblPr>
        <w:tblW w:w="0" w:type="auto"/>
        <w:jc w:val="left"/>
        <w:tblInd w:w="1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38"/>
        <w:gridCol w:w="3139"/>
        <w:gridCol w:w="2688"/>
        <w:gridCol w:w="1966"/>
      </w:tblGrid>
      <w:tr>
        <w:trPr>
          <w:trHeight w:val="424" w:hRule="atLeast"/>
        </w:trPr>
        <w:tc>
          <w:tcPr>
            <w:tcW w:w="8531" w:type="dxa"/>
            <w:gridSpan w:val="4"/>
            <w:tcBorders>
              <w:top w:val="single" w:sz="4" w:space="0" w:color="000000"/>
              <w:bottom w:val="single" w:sz="4" w:space="0" w:color="000000"/>
            </w:tcBorders>
          </w:tcPr>
          <w:p>
            <w:pPr>
              <w:pStyle w:val="TableParagraph"/>
              <w:spacing w:line="240" w:lineRule="auto" w:before="117"/>
              <w:ind w:left="1381" w:right="1377"/>
              <w:jc w:val="center"/>
              <w:rPr>
                <w:b/>
                <w:sz w:val="16"/>
              </w:rPr>
            </w:pPr>
            <w:r>
              <w:rPr>
                <w:b/>
                <w:sz w:val="16"/>
              </w:rPr>
              <w:t>Table 30.1: List of selected Ion-exchange matrix</w:t>
            </w:r>
          </w:p>
        </w:tc>
      </w:tr>
      <w:tr>
        <w:trPr>
          <w:trHeight w:val="791" w:hRule="atLeast"/>
        </w:trPr>
        <w:tc>
          <w:tcPr>
            <w:tcW w:w="738" w:type="dxa"/>
            <w:tcBorders>
              <w:top w:val="single" w:sz="4" w:space="0" w:color="000000"/>
              <w:bottom w:val="single" w:sz="4" w:space="0" w:color="000000"/>
            </w:tcBorders>
          </w:tcPr>
          <w:p>
            <w:pPr>
              <w:pStyle w:val="TableParagraph"/>
              <w:spacing w:line="240" w:lineRule="auto" w:before="116"/>
              <w:ind w:left="115"/>
              <w:rPr>
                <w:b/>
                <w:sz w:val="24"/>
              </w:rPr>
            </w:pPr>
            <w:r>
              <w:rPr>
                <w:b/>
                <w:sz w:val="24"/>
              </w:rPr>
              <w:t>S.No</w:t>
            </w:r>
          </w:p>
        </w:tc>
        <w:tc>
          <w:tcPr>
            <w:tcW w:w="3139" w:type="dxa"/>
            <w:tcBorders>
              <w:top w:val="single" w:sz="4" w:space="0" w:color="000000"/>
              <w:bottom w:val="single" w:sz="4" w:space="0" w:color="000000"/>
            </w:tcBorders>
          </w:tcPr>
          <w:p>
            <w:pPr>
              <w:pStyle w:val="TableParagraph"/>
              <w:spacing w:line="240" w:lineRule="auto" w:before="116"/>
              <w:ind w:left="135"/>
              <w:rPr>
                <w:b/>
                <w:sz w:val="24"/>
              </w:rPr>
            </w:pPr>
            <w:r>
              <w:rPr>
                <w:b/>
                <w:sz w:val="24"/>
              </w:rPr>
              <w:t>Name</w:t>
            </w:r>
          </w:p>
        </w:tc>
        <w:tc>
          <w:tcPr>
            <w:tcW w:w="2688" w:type="dxa"/>
            <w:tcBorders>
              <w:top w:val="single" w:sz="4" w:space="0" w:color="000000"/>
              <w:bottom w:val="single" w:sz="4" w:space="0" w:color="000000"/>
            </w:tcBorders>
          </w:tcPr>
          <w:p>
            <w:pPr>
              <w:pStyle w:val="TableParagraph"/>
              <w:spacing w:line="240" w:lineRule="auto" w:before="116"/>
              <w:ind w:left="222"/>
              <w:rPr>
                <w:b/>
                <w:sz w:val="24"/>
              </w:rPr>
            </w:pPr>
            <w:r>
              <w:rPr>
                <w:b/>
                <w:sz w:val="24"/>
              </w:rPr>
              <w:t>Functional Group</w:t>
            </w:r>
          </w:p>
        </w:tc>
        <w:tc>
          <w:tcPr>
            <w:tcW w:w="1966" w:type="dxa"/>
            <w:tcBorders>
              <w:top w:val="single" w:sz="4" w:space="0" w:color="000000"/>
              <w:bottom w:val="single" w:sz="4" w:space="0" w:color="000000"/>
            </w:tcBorders>
          </w:tcPr>
          <w:p>
            <w:pPr>
              <w:pStyle w:val="TableParagraph"/>
              <w:spacing w:line="240" w:lineRule="auto" w:before="116"/>
              <w:ind w:left="128" w:right="551"/>
              <w:rPr>
                <w:b/>
                <w:sz w:val="24"/>
              </w:rPr>
            </w:pPr>
            <w:r>
              <w:rPr>
                <w:b/>
                <w:sz w:val="24"/>
              </w:rPr>
              <w:t>Type of Ion- exchanger</w:t>
            </w:r>
          </w:p>
        </w:tc>
      </w:tr>
      <w:tr>
        <w:trPr>
          <w:trHeight w:val="718" w:hRule="atLeast"/>
        </w:trPr>
        <w:tc>
          <w:tcPr>
            <w:tcW w:w="738" w:type="dxa"/>
            <w:tcBorders>
              <w:top w:val="single" w:sz="4" w:space="0" w:color="000000"/>
            </w:tcBorders>
          </w:tcPr>
          <w:p>
            <w:pPr>
              <w:pStyle w:val="TableParagraph"/>
              <w:spacing w:line="275" w:lineRule="exact"/>
              <w:ind w:left="115"/>
              <w:rPr>
                <w:b/>
                <w:sz w:val="24"/>
              </w:rPr>
            </w:pPr>
            <w:r>
              <w:rPr>
                <w:b/>
                <w:sz w:val="24"/>
              </w:rPr>
              <w:t>1</w:t>
            </w:r>
          </w:p>
        </w:tc>
        <w:tc>
          <w:tcPr>
            <w:tcW w:w="3139" w:type="dxa"/>
            <w:tcBorders>
              <w:top w:val="single" w:sz="4" w:space="0" w:color="000000"/>
            </w:tcBorders>
          </w:tcPr>
          <w:p>
            <w:pPr>
              <w:pStyle w:val="TableParagraph"/>
              <w:spacing w:line="275" w:lineRule="exact"/>
              <w:ind w:left="135"/>
              <w:rPr>
                <w:b/>
                <w:sz w:val="24"/>
              </w:rPr>
            </w:pPr>
            <w:r>
              <w:rPr>
                <w:b/>
                <w:sz w:val="24"/>
              </w:rPr>
              <w:t>Carboxyl methyl (CM)</w:t>
            </w:r>
          </w:p>
        </w:tc>
        <w:tc>
          <w:tcPr>
            <w:tcW w:w="2688" w:type="dxa"/>
            <w:tcBorders>
              <w:top w:val="single" w:sz="4" w:space="0" w:color="000000"/>
            </w:tcBorders>
          </w:tcPr>
          <w:p>
            <w:pPr>
              <w:pStyle w:val="TableParagraph"/>
              <w:spacing w:line="275" w:lineRule="exact"/>
              <w:ind w:left="222"/>
              <w:rPr>
                <w:b/>
                <w:sz w:val="24"/>
              </w:rPr>
            </w:pPr>
            <w:r>
              <w:rPr>
                <w:b/>
                <w:sz w:val="24"/>
              </w:rPr>
              <w:t>-OCH2COOH</w:t>
            </w:r>
          </w:p>
        </w:tc>
        <w:tc>
          <w:tcPr>
            <w:tcW w:w="1966" w:type="dxa"/>
            <w:tcBorders>
              <w:top w:val="single" w:sz="4" w:space="0" w:color="000000"/>
            </w:tcBorders>
          </w:tcPr>
          <w:p>
            <w:pPr>
              <w:pStyle w:val="TableParagraph"/>
              <w:spacing w:line="276" w:lineRule="auto"/>
              <w:ind w:left="128" w:right="711"/>
              <w:rPr>
                <w:b/>
                <w:sz w:val="24"/>
              </w:rPr>
            </w:pPr>
            <w:r>
              <w:rPr>
                <w:b/>
                <w:sz w:val="24"/>
              </w:rPr>
              <w:t>Cation Exchanger</w:t>
            </w:r>
          </w:p>
        </w:tc>
      </w:tr>
      <w:tr>
        <w:trPr>
          <w:trHeight w:val="835" w:hRule="atLeast"/>
        </w:trPr>
        <w:tc>
          <w:tcPr>
            <w:tcW w:w="738" w:type="dxa"/>
          </w:tcPr>
          <w:p>
            <w:pPr>
              <w:pStyle w:val="TableParagraph"/>
              <w:spacing w:line="240" w:lineRule="auto" w:before="116"/>
              <w:ind w:left="115"/>
              <w:rPr>
                <w:b/>
                <w:sz w:val="24"/>
              </w:rPr>
            </w:pPr>
            <w:r>
              <w:rPr>
                <w:b/>
                <w:sz w:val="24"/>
              </w:rPr>
              <w:t>2</w:t>
            </w:r>
          </w:p>
        </w:tc>
        <w:tc>
          <w:tcPr>
            <w:tcW w:w="3139" w:type="dxa"/>
          </w:tcPr>
          <w:p>
            <w:pPr>
              <w:pStyle w:val="TableParagraph"/>
              <w:spacing w:line="240" w:lineRule="auto" w:before="116"/>
              <w:ind w:left="135"/>
              <w:rPr>
                <w:b/>
                <w:sz w:val="24"/>
              </w:rPr>
            </w:pPr>
            <w:r>
              <w:rPr>
                <w:b/>
                <w:sz w:val="24"/>
              </w:rPr>
              <w:t>Sulphopropyl (SP)</w:t>
            </w:r>
          </w:p>
        </w:tc>
        <w:tc>
          <w:tcPr>
            <w:tcW w:w="2688" w:type="dxa"/>
          </w:tcPr>
          <w:p>
            <w:pPr>
              <w:pStyle w:val="TableParagraph"/>
              <w:spacing w:line="240" w:lineRule="auto" w:before="116"/>
              <w:ind w:left="222"/>
              <w:rPr>
                <w:b/>
                <w:sz w:val="24"/>
              </w:rPr>
            </w:pPr>
            <w:r>
              <w:rPr>
                <w:b/>
                <w:sz w:val="24"/>
              </w:rPr>
              <w:t>-OCH2CH2CH2SO3H</w:t>
            </w:r>
          </w:p>
        </w:tc>
        <w:tc>
          <w:tcPr>
            <w:tcW w:w="1966" w:type="dxa"/>
          </w:tcPr>
          <w:p>
            <w:pPr>
              <w:pStyle w:val="TableParagraph"/>
              <w:spacing w:line="276" w:lineRule="auto" w:before="116"/>
              <w:ind w:left="128" w:right="711"/>
              <w:rPr>
                <w:b/>
                <w:sz w:val="24"/>
              </w:rPr>
            </w:pPr>
            <w:r>
              <w:rPr>
                <w:b/>
                <w:sz w:val="24"/>
              </w:rPr>
              <w:t>Cation Exchanger</w:t>
            </w:r>
          </w:p>
        </w:tc>
      </w:tr>
      <w:tr>
        <w:trPr>
          <w:trHeight w:val="834" w:hRule="atLeast"/>
        </w:trPr>
        <w:tc>
          <w:tcPr>
            <w:tcW w:w="738" w:type="dxa"/>
          </w:tcPr>
          <w:p>
            <w:pPr>
              <w:pStyle w:val="TableParagraph"/>
              <w:spacing w:line="240" w:lineRule="auto" w:before="116"/>
              <w:ind w:left="115"/>
              <w:rPr>
                <w:b/>
                <w:sz w:val="24"/>
              </w:rPr>
            </w:pPr>
            <w:r>
              <w:rPr>
                <w:b/>
                <w:sz w:val="24"/>
              </w:rPr>
              <w:t>3</w:t>
            </w:r>
          </w:p>
        </w:tc>
        <w:tc>
          <w:tcPr>
            <w:tcW w:w="3139" w:type="dxa"/>
          </w:tcPr>
          <w:p>
            <w:pPr>
              <w:pStyle w:val="TableParagraph"/>
              <w:spacing w:line="240" w:lineRule="auto" w:before="116"/>
              <w:ind w:left="135"/>
              <w:rPr>
                <w:b/>
                <w:sz w:val="24"/>
              </w:rPr>
            </w:pPr>
            <w:r>
              <w:rPr>
                <w:b/>
                <w:sz w:val="24"/>
              </w:rPr>
              <w:t>Sulphonate (S)</w:t>
            </w:r>
          </w:p>
        </w:tc>
        <w:tc>
          <w:tcPr>
            <w:tcW w:w="2688" w:type="dxa"/>
          </w:tcPr>
          <w:p>
            <w:pPr>
              <w:pStyle w:val="TableParagraph"/>
              <w:spacing w:line="240" w:lineRule="auto" w:before="116"/>
              <w:ind w:left="222"/>
              <w:rPr>
                <w:b/>
                <w:sz w:val="24"/>
              </w:rPr>
            </w:pPr>
            <w:r>
              <w:rPr>
                <w:b/>
                <w:sz w:val="24"/>
              </w:rPr>
              <w:t>-OCH2SO3H</w:t>
            </w:r>
          </w:p>
        </w:tc>
        <w:tc>
          <w:tcPr>
            <w:tcW w:w="1966" w:type="dxa"/>
          </w:tcPr>
          <w:p>
            <w:pPr>
              <w:pStyle w:val="TableParagraph"/>
              <w:spacing w:line="276" w:lineRule="auto" w:before="116"/>
              <w:ind w:left="128" w:right="711"/>
              <w:rPr>
                <w:b/>
                <w:sz w:val="24"/>
              </w:rPr>
            </w:pPr>
            <w:r>
              <w:rPr>
                <w:b/>
                <w:sz w:val="24"/>
              </w:rPr>
              <w:t>Cation Exchanger</w:t>
            </w:r>
          </w:p>
        </w:tc>
      </w:tr>
      <w:tr>
        <w:trPr>
          <w:trHeight w:val="835" w:hRule="atLeast"/>
        </w:trPr>
        <w:tc>
          <w:tcPr>
            <w:tcW w:w="738" w:type="dxa"/>
          </w:tcPr>
          <w:p>
            <w:pPr>
              <w:pStyle w:val="TableParagraph"/>
              <w:spacing w:line="240" w:lineRule="auto" w:before="115"/>
              <w:ind w:left="115"/>
              <w:rPr>
                <w:b/>
                <w:sz w:val="24"/>
              </w:rPr>
            </w:pPr>
            <w:r>
              <w:rPr>
                <w:b/>
                <w:sz w:val="24"/>
              </w:rPr>
              <w:t>4</w:t>
            </w:r>
          </w:p>
        </w:tc>
        <w:tc>
          <w:tcPr>
            <w:tcW w:w="3139" w:type="dxa"/>
          </w:tcPr>
          <w:p>
            <w:pPr>
              <w:pStyle w:val="TableParagraph"/>
              <w:spacing w:line="240" w:lineRule="auto" w:before="115"/>
              <w:ind w:left="135"/>
              <w:rPr>
                <w:b/>
                <w:sz w:val="24"/>
              </w:rPr>
            </w:pPr>
            <w:r>
              <w:rPr>
                <w:b/>
                <w:sz w:val="24"/>
              </w:rPr>
              <w:t>Diethylaminoethyl (DEAE)</w:t>
            </w:r>
          </w:p>
        </w:tc>
        <w:tc>
          <w:tcPr>
            <w:tcW w:w="2688" w:type="dxa"/>
          </w:tcPr>
          <w:p>
            <w:pPr>
              <w:pStyle w:val="TableParagraph"/>
              <w:spacing w:line="278" w:lineRule="auto" w:before="115"/>
              <w:ind w:left="222" w:right="859"/>
              <w:rPr>
                <w:b/>
                <w:sz w:val="24"/>
              </w:rPr>
            </w:pPr>
            <w:r>
              <w:rPr>
                <w:b/>
                <w:sz w:val="24"/>
              </w:rPr>
              <w:t>-OCH2CH2NH (C2H5)2</w:t>
            </w:r>
          </w:p>
        </w:tc>
        <w:tc>
          <w:tcPr>
            <w:tcW w:w="1966" w:type="dxa"/>
          </w:tcPr>
          <w:p>
            <w:pPr>
              <w:pStyle w:val="TableParagraph"/>
              <w:spacing w:line="278" w:lineRule="auto" w:before="115"/>
              <w:ind w:left="128" w:right="711"/>
              <w:rPr>
                <w:b/>
                <w:sz w:val="24"/>
              </w:rPr>
            </w:pPr>
            <w:r>
              <w:rPr>
                <w:b/>
                <w:sz w:val="24"/>
              </w:rPr>
              <w:t>Anion Exchanger</w:t>
            </w:r>
          </w:p>
        </w:tc>
      </w:tr>
      <w:tr>
        <w:trPr>
          <w:trHeight w:val="950" w:hRule="atLeast"/>
        </w:trPr>
        <w:tc>
          <w:tcPr>
            <w:tcW w:w="738" w:type="dxa"/>
            <w:tcBorders>
              <w:bottom w:val="single" w:sz="4" w:space="0" w:color="000000"/>
            </w:tcBorders>
          </w:tcPr>
          <w:p>
            <w:pPr>
              <w:pStyle w:val="TableParagraph"/>
              <w:spacing w:line="240" w:lineRule="auto" w:before="115"/>
              <w:ind w:left="115"/>
              <w:rPr>
                <w:b/>
                <w:sz w:val="24"/>
              </w:rPr>
            </w:pPr>
            <w:r>
              <w:rPr>
                <w:b/>
                <w:sz w:val="24"/>
              </w:rPr>
              <w:t>5</w:t>
            </w:r>
          </w:p>
        </w:tc>
        <w:tc>
          <w:tcPr>
            <w:tcW w:w="3139" w:type="dxa"/>
            <w:tcBorders>
              <w:bottom w:val="single" w:sz="4" w:space="0" w:color="000000"/>
            </w:tcBorders>
          </w:tcPr>
          <w:p>
            <w:pPr>
              <w:pStyle w:val="TableParagraph"/>
              <w:spacing w:line="276" w:lineRule="auto" w:before="115"/>
              <w:ind w:left="135" w:right="364"/>
              <w:rPr>
                <w:b/>
                <w:sz w:val="24"/>
              </w:rPr>
            </w:pPr>
            <w:r>
              <w:rPr>
                <w:b/>
                <w:sz w:val="24"/>
              </w:rPr>
              <w:t>Quaternary aminomethyl (Q)</w:t>
            </w:r>
          </w:p>
        </w:tc>
        <w:tc>
          <w:tcPr>
            <w:tcW w:w="2688" w:type="dxa"/>
            <w:tcBorders>
              <w:bottom w:val="single" w:sz="4" w:space="0" w:color="000000"/>
            </w:tcBorders>
          </w:tcPr>
          <w:p>
            <w:pPr>
              <w:pStyle w:val="TableParagraph"/>
              <w:spacing w:line="240" w:lineRule="auto" w:before="115"/>
              <w:ind w:left="222"/>
              <w:rPr>
                <w:b/>
                <w:sz w:val="24"/>
              </w:rPr>
            </w:pPr>
            <w:r>
              <w:rPr>
                <w:b/>
                <w:sz w:val="24"/>
              </w:rPr>
              <w:t>-OCH2N(CH3)3</w:t>
            </w:r>
          </w:p>
        </w:tc>
        <w:tc>
          <w:tcPr>
            <w:tcW w:w="1966" w:type="dxa"/>
            <w:tcBorders>
              <w:bottom w:val="single" w:sz="4" w:space="0" w:color="000000"/>
            </w:tcBorders>
          </w:tcPr>
          <w:p>
            <w:pPr>
              <w:pStyle w:val="TableParagraph"/>
              <w:spacing w:line="276" w:lineRule="auto" w:before="115"/>
              <w:ind w:left="128" w:right="711"/>
              <w:rPr>
                <w:b/>
                <w:sz w:val="24"/>
              </w:rPr>
            </w:pPr>
            <w:r>
              <w:rPr>
                <w:b/>
                <w:sz w:val="24"/>
              </w:rPr>
              <w:t>Anion Exchanger</w:t>
            </w:r>
          </w:p>
        </w:tc>
      </w:tr>
    </w:tbl>
    <w:p>
      <w:pPr>
        <w:spacing w:after="0" w:line="276" w:lineRule="auto"/>
        <w:rPr>
          <w:sz w:val="24"/>
        </w:rPr>
        <w:sectPr>
          <w:pgSz w:w="11910" w:h="16840"/>
          <w:pgMar w:header="722" w:footer="748" w:top="1300" w:bottom="940" w:left="1500" w:right="1480"/>
        </w:sectPr>
      </w:pPr>
    </w:p>
    <w:p>
      <w:pPr>
        <w:pStyle w:val="BodyText"/>
        <w:spacing w:before="10" w:after="1"/>
        <w:rPr>
          <w:sz w:val="10"/>
        </w:rPr>
      </w:pPr>
    </w:p>
    <w:p>
      <w:pPr>
        <w:pStyle w:val="BodyText"/>
        <w:ind w:left="300"/>
        <w:rPr>
          <w:sz w:val="20"/>
        </w:rPr>
      </w:pPr>
      <w:r>
        <w:rPr>
          <w:sz w:val="20"/>
        </w:rPr>
        <w:drawing>
          <wp:inline distT="0" distB="0" distL="0" distR="0">
            <wp:extent cx="5153995" cy="2987040"/>
            <wp:effectExtent l="0" t="0" r="0" b="0"/>
            <wp:docPr id="319" name="image164.png"/>
            <wp:cNvGraphicFramePr>
              <a:graphicFrameLocks noChangeAspect="1"/>
            </wp:cNvGraphicFramePr>
            <a:graphic>
              <a:graphicData uri="http://schemas.openxmlformats.org/drawingml/2006/picture">
                <pic:pic>
                  <pic:nvPicPr>
                    <pic:cNvPr id="320" name="image164.png"/>
                    <pic:cNvPicPr/>
                  </pic:nvPicPr>
                  <pic:blipFill>
                    <a:blip r:embed="rId178" cstate="print"/>
                    <a:stretch>
                      <a:fillRect/>
                    </a:stretch>
                  </pic:blipFill>
                  <pic:spPr>
                    <a:xfrm>
                      <a:off x="0" y="0"/>
                      <a:ext cx="5153995" cy="2987040"/>
                    </a:xfrm>
                    <a:prstGeom prst="rect">
                      <a:avLst/>
                    </a:prstGeom>
                  </pic:spPr>
                </pic:pic>
              </a:graphicData>
            </a:graphic>
          </wp:inline>
        </w:drawing>
      </w:r>
      <w:r>
        <w:rPr>
          <w:sz w:val="20"/>
        </w:rPr>
      </w:r>
    </w:p>
    <w:p>
      <w:pPr>
        <w:pStyle w:val="BodyText"/>
        <w:spacing w:before="3"/>
        <w:rPr>
          <w:sz w:val="20"/>
        </w:rPr>
      </w:pPr>
    </w:p>
    <w:p>
      <w:pPr>
        <w:spacing w:before="94"/>
        <w:ind w:left="600" w:right="617" w:firstLine="0"/>
        <w:jc w:val="center"/>
        <w:rPr>
          <w:b/>
          <w:sz w:val="16"/>
        </w:rPr>
      </w:pPr>
      <w:r>
        <w:rPr>
          <w:b/>
          <w:sz w:val="16"/>
        </w:rPr>
        <w:t>Figure 29.2: Cation and Anion exchange chromatography.</w:t>
      </w:r>
    </w:p>
    <w:p>
      <w:pPr>
        <w:pStyle w:val="BodyText"/>
        <w:spacing w:before="10"/>
        <w:rPr>
          <w:b/>
        </w:rPr>
      </w:pPr>
    </w:p>
    <w:p>
      <w:pPr>
        <w:pStyle w:val="BodyText"/>
        <w:spacing w:line="360" w:lineRule="auto" w:before="1"/>
        <w:ind w:left="300" w:right="317"/>
        <w:jc w:val="both"/>
      </w:pPr>
      <w:r>
        <w:rPr>
          <w:b/>
        </w:rPr>
        <w:t>Isoelectric point and charge on a protein: </w:t>
      </w:r>
      <w:r>
        <w:rPr/>
        <w:t>Protein is a polymer made up of amino acids with ionizable side chain. At a particular pH, these amino acid side chain ionizes differentially to give a net charge (positive/negative) to the protein. The pH at which the net charge on a protein is zero is called as Isoelectric point (pI). The protein will have a net positive charge below the pI where as it has net negative charge above the pI value (Figure 29.3).</w:t>
      </w:r>
    </w:p>
    <w:p>
      <w:pPr>
        <w:pStyle w:val="BodyText"/>
        <w:spacing w:line="360" w:lineRule="auto" w:before="201"/>
        <w:ind w:left="300" w:right="318"/>
        <w:jc w:val="both"/>
      </w:pPr>
      <w:r>
        <w:rPr>
          <w:b/>
        </w:rPr>
        <w:t>Choice of a Ion-exchange column matrix-</w:t>
      </w:r>
      <w:r>
        <w:rPr/>
        <w:t>Before starting the isolation and purification of a substance, a choice for a suitable ion-exchange chromatography is important. There are multiple parameter which can be consider for choosing the right column matrix.</w:t>
      </w:r>
    </w:p>
    <w:p>
      <w:pPr>
        <w:pStyle w:val="ListParagraph"/>
        <w:numPr>
          <w:ilvl w:val="0"/>
          <w:numId w:val="33"/>
        </w:numPr>
        <w:tabs>
          <w:tab w:pos="562" w:val="left" w:leader="none"/>
        </w:tabs>
        <w:spacing w:line="360" w:lineRule="auto" w:before="200" w:after="0"/>
        <w:ind w:left="300" w:right="313" w:firstLine="0"/>
        <w:jc w:val="both"/>
        <w:rPr>
          <w:sz w:val="24"/>
        </w:rPr>
      </w:pPr>
      <w:r>
        <w:rPr>
          <w:b/>
          <w:sz w:val="24"/>
        </w:rPr>
        <w:t>pI value and Net charge- </w:t>
      </w:r>
      <w:r>
        <w:rPr>
          <w:sz w:val="24"/>
        </w:rPr>
        <w:t>The information of a pI will be allow you to calculate the net charge at a particular pH on a protein. As discussed above, a cation exchange chromatography can be use below the pI where as an anion exchange chromatography can be use above the pI</w:t>
      </w:r>
      <w:r>
        <w:rPr>
          <w:spacing w:val="-6"/>
          <w:sz w:val="24"/>
        </w:rPr>
        <w:t> </w:t>
      </w:r>
      <w:r>
        <w:rPr>
          <w:sz w:val="24"/>
        </w:rPr>
        <w:t>value.</w:t>
      </w:r>
    </w:p>
    <w:p>
      <w:pPr>
        <w:pStyle w:val="ListParagraph"/>
        <w:numPr>
          <w:ilvl w:val="0"/>
          <w:numId w:val="33"/>
        </w:numPr>
        <w:tabs>
          <w:tab w:pos="569" w:val="left" w:leader="none"/>
        </w:tabs>
        <w:spacing w:line="360" w:lineRule="auto" w:before="199" w:after="0"/>
        <w:ind w:left="300" w:right="315" w:firstLine="0"/>
        <w:jc w:val="both"/>
        <w:rPr>
          <w:sz w:val="24"/>
        </w:rPr>
      </w:pPr>
      <w:r>
        <w:rPr>
          <w:b/>
          <w:sz w:val="24"/>
        </w:rPr>
        <w:t>Structural stability-</w:t>
      </w:r>
      <w:r>
        <w:rPr>
          <w:sz w:val="24"/>
        </w:rPr>
        <w:t>3-D structure of a protein is maintained by electrostatic and vander waal interaction between charged amino acid, Π-Π interaction between hydrophobic side chain of amino acids. As a result, protein structure is stable in a narrow range around its pI and a large deviation from it may affect its 3-D</w:t>
      </w:r>
      <w:r>
        <w:rPr>
          <w:spacing w:val="-20"/>
          <w:sz w:val="24"/>
        </w:rPr>
        <w:t> </w:t>
      </w:r>
      <w:r>
        <w:rPr>
          <w:sz w:val="24"/>
        </w:rPr>
        <w:t>structure.</w:t>
      </w:r>
    </w:p>
    <w:p>
      <w:pPr>
        <w:spacing w:after="0" w:line="360" w:lineRule="auto"/>
        <w:jc w:val="both"/>
        <w:rPr>
          <w:sz w:val="24"/>
        </w:rPr>
        <w:sectPr>
          <w:pgSz w:w="11910" w:h="16840"/>
          <w:pgMar w:header="722" w:footer="748" w:top="1300" w:bottom="940" w:left="1500" w:right="1480"/>
        </w:sectPr>
      </w:pPr>
    </w:p>
    <w:p>
      <w:pPr>
        <w:pStyle w:val="ListParagraph"/>
        <w:numPr>
          <w:ilvl w:val="0"/>
          <w:numId w:val="33"/>
        </w:numPr>
        <w:tabs>
          <w:tab w:pos="560" w:val="left" w:leader="none"/>
        </w:tabs>
        <w:spacing w:line="360" w:lineRule="auto" w:before="119" w:after="0"/>
        <w:ind w:left="300" w:right="317" w:firstLine="0"/>
        <w:jc w:val="both"/>
        <w:rPr>
          <w:sz w:val="24"/>
        </w:rPr>
      </w:pPr>
      <w:r>
        <w:rPr>
          <w:b/>
          <w:sz w:val="24"/>
        </w:rPr>
        <w:t>Enzymatic activity-</w:t>
      </w:r>
      <w:r>
        <w:rPr>
          <w:sz w:val="24"/>
        </w:rPr>
        <w:t>Similar to structural stability, enzymes are active in a narrow range of pH and this range should be consider for choosing an ion-exchange chromatography.</w:t>
      </w:r>
    </w:p>
    <w:p>
      <w:pPr>
        <w:pStyle w:val="BodyText"/>
        <w:spacing w:before="7"/>
        <w:rPr>
          <w:sz w:val="14"/>
        </w:rPr>
      </w:pPr>
      <w:r>
        <w:rPr/>
        <w:drawing>
          <wp:anchor distT="0" distB="0" distL="0" distR="0" allowOverlap="1" layoutInCell="1" locked="0" behindDoc="0" simplePos="0" relativeHeight="315">
            <wp:simplePos x="0" y="0"/>
            <wp:positionH relativeFrom="page">
              <wp:posOffset>1169601</wp:posOffset>
            </wp:positionH>
            <wp:positionV relativeFrom="paragraph">
              <wp:posOffset>131734</wp:posOffset>
            </wp:positionV>
            <wp:extent cx="5230060" cy="1316735"/>
            <wp:effectExtent l="0" t="0" r="0" b="0"/>
            <wp:wrapTopAndBottom/>
            <wp:docPr id="321" name="image165.png"/>
            <wp:cNvGraphicFramePr>
              <a:graphicFrameLocks noChangeAspect="1"/>
            </wp:cNvGraphicFramePr>
            <a:graphic>
              <a:graphicData uri="http://schemas.openxmlformats.org/drawingml/2006/picture">
                <pic:pic>
                  <pic:nvPicPr>
                    <pic:cNvPr id="322" name="image165.png"/>
                    <pic:cNvPicPr/>
                  </pic:nvPicPr>
                  <pic:blipFill>
                    <a:blip r:embed="rId179" cstate="print"/>
                    <a:stretch>
                      <a:fillRect/>
                    </a:stretch>
                  </pic:blipFill>
                  <pic:spPr>
                    <a:xfrm>
                      <a:off x="0" y="0"/>
                      <a:ext cx="5230060" cy="1316735"/>
                    </a:xfrm>
                    <a:prstGeom prst="rect">
                      <a:avLst/>
                    </a:prstGeom>
                  </pic:spPr>
                </pic:pic>
              </a:graphicData>
            </a:graphic>
          </wp:anchor>
        </w:drawing>
      </w:r>
    </w:p>
    <w:p>
      <w:pPr>
        <w:pStyle w:val="BodyText"/>
        <w:spacing w:before="6"/>
        <w:rPr>
          <w:sz w:val="26"/>
        </w:rPr>
      </w:pPr>
    </w:p>
    <w:p>
      <w:pPr>
        <w:spacing w:before="0"/>
        <w:ind w:left="598" w:right="617" w:firstLine="0"/>
        <w:jc w:val="center"/>
        <w:rPr>
          <w:b/>
          <w:sz w:val="16"/>
        </w:rPr>
      </w:pPr>
      <w:r>
        <w:rPr>
          <w:b/>
          <w:sz w:val="16"/>
        </w:rPr>
        <w:t>Figure 29.3: Change of charge with respect to the pI.</w:t>
      </w:r>
    </w:p>
    <w:p>
      <w:pPr>
        <w:pStyle w:val="BodyText"/>
        <w:spacing w:before="3"/>
        <w:rPr>
          <w:b/>
          <w:sz w:val="19"/>
        </w:rPr>
      </w:pPr>
    </w:p>
    <w:p>
      <w:pPr>
        <w:spacing w:line="360" w:lineRule="auto" w:before="0"/>
        <w:ind w:left="300" w:right="319" w:firstLine="0"/>
        <w:jc w:val="both"/>
        <w:rPr>
          <w:sz w:val="24"/>
        </w:rPr>
      </w:pPr>
      <w:r>
        <w:rPr>
          <w:b/>
          <w:sz w:val="24"/>
        </w:rPr>
        <w:t>Operation of the technique-</w:t>
      </w:r>
      <w:r>
        <w:rPr>
          <w:sz w:val="24"/>
        </w:rPr>
        <w:t>Several parameters needs to be consider to perform ion- exchange chromatography (Figure 29.4).</w:t>
      </w:r>
    </w:p>
    <w:p>
      <w:pPr>
        <w:pStyle w:val="ListParagraph"/>
        <w:numPr>
          <w:ilvl w:val="0"/>
          <w:numId w:val="34"/>
        </w:numPr>
        <w:tabs>
          <w:tab w:pos="576" w:val="left" w:leader="none"/>
        </w:tabs>
        <w:spacing w:line="360" w:lineRule="auto" w:before="200" w:after="0"/>
        <w:ind w:left="299" w:right="313" w:firstLine="0"/>
        <w:jc w:val="both"/>
        <w:rPr>
          <w:sz w:val="24"/>
        </w:rPr>
      </w:pPr>
      <w:r>
        <w:rPr>
          <w:b/>
          <w:sz w:val="24"/>
        </w:rPr>
        <w:t>Column material and stationary phase-</w:t>
      </w:r>
      <w:r>
        <w:rPr>
          <w:sz w:val="24"/>
        </w:rPr>
        <w:t>Column material should be chemically inert to avoid destruction of biological sample. It should allow free low of liquid with minimum clogging. </w:t>
      </w:r>
      <w:r>
        <w:rPr>
          <w:spacing w:val="-3"/>
          <w:sz w:val="24"/>
        </w:rPr>
        <w:t>It </w:t>
      </w:r>
      <w:r>
        <w:rPr>
          <w:sz w:val="24"/>
        </w:rPr>
        <w:t>should be capable to withstand the back pressure and it should not compress or expand during the</w:t>
      </w:r>
      <w:r>
        <w:rPr>
          <w:spacing w:val="-4"/>
          <w:sz w:val="24"/>
        </w:rPr>
        <w:t> </w:t>
      </w:r>
      <w:r>
        <w:rPr>
          <w:sz w:val="24"/>
        </w:rPr>
        <w:t>operation.</w:t>
      </w:r>
    </w:p>
    <w:p>
      <w:pPr>
        <w:pStyle w:val="ListParagraph"/>
        <w:numPr>
          <w:ilvl w:val="0"/>
          <w:numId w:val="34"/>
        </w:numPr>
        <w:tabs>
          <w:tab w:pos="543" w:val="left" w:leader="none"/>
        </w:tabs>
        <w:spacing w:line="360" w:lineRule="auto" w:before="201" w:after="0"/>
        <w:ind w:left="299" w:right="317" w:firstLine="0"/>
        <w:jc w:val="both"/>
        <w:rPr>
          <w:sz w:val="24"/>
        </w:rPr>
      </w:pPr>
      <w:r>
        <w:rPr>
          <w:b/>
          <w:sz w:val="24"/>
        </w:rPr>
        <w:t>Mobile Phase-</w:t>
      </w:r>
      <w:r>
        <w:rPr>
          <w:sz w:val="24"/>
        </w:rPr>
        <w:t>The ionic strength and pH are the crucial parameters to influence the property of the mobile</w:t>
      </w:r>
      <w:r>
        <w:rPr>
          <w:spacing w:val="-8"/>
          <w:sz w:val="24"/>
        </w:rPr>
        <w:t> </w:t>
      </w:r>
      <w:r>
        <w:rPr>
          <w:sz w:val="24"/>
        </w:rPr>
        <w:t>phase.</w:t>
      </w:r>
    </w:p>
    <w:p>
      <w:pPr>
        <w:pStyle w:val="ListParagraph"/>
        <w:numPr>
          <w:ilvl w:val="0"/>
          <w:numId w:val="34"/>
        </w:numPr>
        <w:tabs>
          <w:tab w:pos="548" w:val="left" w:leader="none"/>
        </w:tabs>
        <w:spacing w:line="360" w:lineRule="auto" w:before="200" w:after="0"/>
        <w:ind w:left="299" w:right="317" w:firstLine="0"/>
        <w:jc w:val="both"/>
        <w:rPr>
          <w:sz w:val="24"/>
        </w:rPr>
      </w:pPr>
      <w:r>
        <w:rPr>
          <w:b/>
          <w:sz w:val="24"/>
        </w:rPr>
        <w:t>Sample Preparation- </w:t>
      </w:r>
      <w:r>
        <w:rPr>
          <w:sz w:val="24"/>
        </w:rPr>
        <w:t>The sample is prepared in the mobile phase and it should be free of suspended particle to avoid clogging of the column. The most recommended method to apply the sample is to inject the sample with a</w:t>
      </w:r>
      <w:r>
        <w:rPr>
          <w:spacing w:val="-12"/>
          <w:sz w:val="24"/>
        </w:rPr>
        <w:t> </w:t>
      </w:r>
      <w:r>
        <w:rPr>
          <w:sz w:val="24"/>
        </w:rPr>
        <w:t>syringe.</w:t>
      </w:r>
    </w:p>
    <w:p>
      <w:pPr>
        <w:pStyle w:val="ListParagraph"/>
        <w:numPr>
          <w:ilvl w:val="0"/>
          <w:numId w:val="34"/>
        </w:numPr>
        <w:tabs>
          <w:tab w:pos="540" w:val="left" w:leader="none"/>
        </w:tabs>
        <w:spacing w:line="360" w:lineRule="auto" w:before="200" w:after="0"/>
        <w:ind w:left="300" w:right="317" w:firstLine="0"/>
        <w:jc w:val="both"/>
        <w:rPr>
          <w:sz w:val="24"/>
        </w:rPr>
      </w:pPr>
      <w:r>
        <w:rPr>
          <w:b/>
          <w:sz w:val="24"/>
        </w:rPr>
        <w:t>Elution- </w:t>
      </w:r>
      <w:r>
        <w:rPr>
          <w:sz w:val="24"/>
        </w:rPr>
        <w:t>There are many ways to elute a analyte from the ion-exchange column. (1) Isocratic</w:t>
      </w:r>
      <w:r>
        <w:rPr>
          <w:spacing w:val="23"/>
          <w:sz w:val="24"/>
        </w:rPr>
        <w:t> </w:t>
      </w:r>
      <w:r>
        <w:rPr>
          <w:sz w:val="24"/>
        </w:rPr>
        <w:t>elution</w:t>
      </w:r>
      <w:r>
        <w:rPr>
          <w:spacing w:val="23"/>
          <w:sz w:val="24"/>
        </w:rPr>
        <w:t> </w:t>
      </w:r>
      <w:r>
        <w:rPr>
          <w:sz w:val="24"/>
        </w:rPr>
        <w:t>(2)</w:t>
      </w:r>
      <w:r>
        <w:rPr>
          <w:spacing w:val="22"/>
          <w:sz w:val="24"/>
        </w:rPr>
        <w:t> </w:t>
      </w:r>
      <w:r>
        <w:rPr>
          <w:sz w:val="24"/>
        </w:rPr>
        <w:t>Step-wise</w:t>
      </w:r>
      <w:r>
        <w:rPr>
          <w:spacing w:val="24"/>
          <w:sz w:val="24"/>
        </w:rPr>
        <w:t> </w:t>
      </w:r>
      <w:r>
        <w:rPr>
          <w:sz w:val="24"/>
        </w:rPr>
        <w:t>gradient</w:t>
      </w:r>
      <w:r>
        <w:rPr>
          <w:spacing w:val="22"/>
          <w:sz w:val="24"/>
        </w:rPr>
        <w:t> </w:t>
      </w:r>
      <w:r>
        <w:rPr>
          <w:sz w:val="24"/>
        </w:rPr>
        <w:t>(3)</w:t>
      </w:r>
      <w:r>
        <w:rPr>
          <w:spacing w:val="24"/>
          <w:sz w:val="24"/>
        </w:rPr>
        <w:t> </w:t>
      </w:r>
      <w:r>
        <w:rPr>
          <w:sz w:val="24"/>
        </w:rPr>
        <w:t>Continuous</w:t>
      </w:r>
      <w:r>
        <w:rPr>
          <w:spacing w:val="23"/>
          <w:sz w:val="24"/>
        </w:rPr>
        <w:t> </w:t>
      </w:r>
      <w:r>
        <w:rPr>
          <w:sz w:val="24"/>
        </w:rPr>
        <w:t>gradient</w:t>
      </w:r>
      <w:r>
        <w:rPr>
          <w:spacing w:val="25"/>
          <w:sz w:val="24"/>
        </w:rPr>
        <w:t> </w:t>
      </w:r>
      <w:r>
        <w:rPr>
          <w:sz w:val="24"/>
        </w:rPr>
        <w:t>either</w:t>
      </w:r>
      <w:r>
        <w:rPr>
          <w:spacing w:val="21"/>
          <w:sz w:val="24"/>
        </w:rPr>
        <w:t> </w:t>
      </w:r>
      <w:r>
        <w:rPr>
          <w:sz w:val="24"/>
        </w:rPr>
        <w:t>by</w:t>
      </w:r>
      <w:r>
        <w:rPr>
          <w:spacing w:val="20"/>
          <w:sz w:val="24"/>
        </w:rPr>
        <w:t> </w:t>
      </w:r>
      <w:r>
        <w:rPr>
          <w:sz w:val="24"/>
        </w:rPr>
        <w:t>salt</w:t>
      </w:r>
      <w:r>
        <w:rPr>
          <w:spacing w:val="23"/>
          <w:sz w:val="24"/>
        </w:rPr>
        <w:t> </w:t>
      </w:r>
      <w:r>
        <w:rPr>
          <w:sz w:val="24"/>
        </w:rPr>
        <w:t>or</w:t>
      </w:r>
      <w:r>
        <w:rPr>
          <w:spacing w:val="22"/>
          <w:sz w:val="24"/>
        </w:rPr>
        <w:t> </w:t>
      </w:r>
      <w:r>
        <w:rPr>
          <w:sz w:val="24"/>
        </w:rPr>
        <w:t>pH</w:t>
      </w:r>
    </w:p>
    <w:p>
      <w:pPr>
        <w:pStyle w:val="BodyText"/>
        <w:ind w:left="300"/>
        <w:jc w:val="both"/>
      </w:pPr>
      <w:r>
        <w:rPr/>
        <w:t>(4) affinity elution (5) displacement chromatography</w:t>
      </w:r>
    </w:p>
    <w:p>
      <w:pPr>
        <w:spacing w:after="0"/>
        <w:jc w:val="both"/>
        <w:sectPr>
          <w:pgSz w:w="11910" w:h="16840"/>
          <w:pgMar w:header="722" w:footer="748" w:top="1300" w:bottom="940" w:left="1500" w:right="1480"/>
        </w:sectPr>
      </w:pPr>
    </w:p>
    <w:p>
      <w:pPr>
        <w:pStyle w:val="ListParagraph"/>
        <w:numPr>
          <w:ilvl w:val="0"/>
          <w:numId w:val="34"/>
        </w:numPr>
        <w:tabs>
          <w:tab w:pos="543" w:val="left" w:leader="none"/>
        </w:tabs>
        <w:spacing w:line="360" w:lineRule="auto" w:before="119" w:after="0"/>
        <w:ind w:left="300" w:right="313" w:firstLine="0"/>
        <w:jc w:val="both"/>
        <w:rPr>
          <w:sz w:val="24"/>
        </w:rPr>
      </w:pPr>
      <w:r>
        <w:rPr>
          <w:b/>
          <w:sz w:val="24"/>
        </w:rPr>
        <w:t>Column Regeneration- </w:t>
      </w:r>
      <w:r>
        <w:rPr>
          <w:sz w:val="24"/>
        </w:rPr>
        <w:t>After the elution of analyte, ion-exchange chromatography column require a regeneration step to use next time. column is washed with a salt solution with a ionic strength of 2M to remove all non-specifically bound analytes and also to make all functional group in a iononized form to bind fresh</w:t>
      </w:r>
      <w:r>
        <w:rPr>
          <w:spacing w:val="-6"/>
          <w:sz w:val="24"/>
        </w:rPr>
        <w:t> </w:t>
      </w:r>
      <w:r>
        <w:rPr>
          <w:sz w:val="24"/>
        </w:rPr>
        <w:t>analyte.</w:t>
      </w:r>
    </w:p>
    <w:p>
      <w:pPr>
        <w:pStyle w:val="BodyText"/>
        <w:spacing w:before="7"/>
        <w:rPr>
          <w:sz w:val="14"/>
        </w:rPr>
      </w:pPr>
      <w:r>
        <w:rPr/>
        <w:drawing>
          <wp:anchor distT="0" distB="0" distL="0" distR="0" allowOverlap="1" layoutInCell="1" locked="0" behindDoc="0" simplePos="0" relativeHeight="316">
            <wp:simplePos x="0" y="0"/>
            <wp:positionH relativeFrom="page">
              <wp:posOffset>1143533</wp:posOffset>
            </wp:positionH>
            <wp:positionV relativeFrom="paragraph">
              <wp:posOffset>131490</wp:posOffset>
            </wp:positionV>
            <wp:extent cx="5194064" cy="2462783"/>
            <wp:effectExtent l="0" t="0" r="0" b="0"/>
            <wp:wrapTopAndBottom/>
            <wp:docPr id="323" name="image166.png"/>
            <wp:cNvGraphicFramePr>
              <a:graphicFrameLocks noChangeAspect="1"/>
            </wp:cNvGraphicFramePr>
            <a:graphic>
              <a:graphicData uri="http://schemas.openxmlformats.org/drawingml/2006/picture">
                <pic:pic>
                  <pic:nvPicPr>
                    <pic:cNvPr id="324" name="image166.png"/>
                    <pic:cNvPicPr/>
                  </pic:nvPicPr>
                  <pic:blipFill>
                    <a:blip r:embed="rId180" cstate="print"/>
                    <a:stretch>
                      <a:fillRect/>
                    </a:stretch>
                  </pic:blipFill>
                  <pic:spPr>
                    <a:xfrm>
                      <a:off x="0" y="0"/>
                      <a:ext cx="5194064" cy="2462783"/>
                    </a:xfrm>
                    <a:prstGeom prst="rect">
                      <a:avLst/>
                    </a:prstGeom>
                  </pic:spPr>
                </pic:pic>
              </a:graphicData>
            </a:graphic>
          </wp:anchor>
        </w:drawing>
      </w:r>
    </w:p>
    <w:p>
      <w:pPr>
        <w:pStyle w:val="BodyText"/>
        <w:spacing w:before="3"/>
        <w:rPr>
          <w:sz w:val="36"/>
        </w:rPr>
      </w:pPr>
    </w:p>
    <w:p>
      <w:pPr>
        <w:spacing w:before="1"/>
        <w:ind w:left="300" w:right="400" w:firstLine="0"/>
        <w:jc w:val="left"/>
        <w:rPr>
          <w:b/>
          <w:sz w:val="16"/>
        </w:rPr>
      </w:pPr>
      <w:r>
        <w:rPr>
          <w:b/>
          <w:sz w:val="16"/>
        </w:rPr>
        <w:t>Figure 29.4 : Operation of the Ion-exchange Chromatography. (A) Chromatography system to perform gradient elution of analytes to give an (B) elution</w:t>
      </w:r>
      <w:r>
        <w:rPr>
          <w:b/>
          <w:spacing w:val="-8"/>
          <w:sz w:val="16"/>
        </w:rPr>
        <w:t> </w:t>
      </w:r>
      <w:r>
        <w:rPr>
          <w:b/>
          <w:sz w:val="16"/>
        </w:rPr>
        <w:t>profile.</w:t>
      </w:r>
    </w:p>
    <w:p>
      <w:pPr>
        <w:spacing w:after="0"/>
        <w:jc w:val="left"/>
        <w:rPr>
          <w:sz w:val="16"/>
        </w:rPr>
        <w:sectPr>
          <w:pgSz w:w="11910" w:h="16840"/>
          <w:pgMar w:header="722" w:footer="748" w:top="1300" w:bottom="940" w:left="1500" w:right="1480"/>
        </w:sectPr>
      </w:pPr>
    </w:p>
    <w:p>
      <w:pPr>
        <w:pStyle w:val="Heading2"/>
        <w:jc w:val="left"/>
      </w:pPr>
      <w:r>
        <w:rPr/>
        <w:t>Lecture 30: Ion-Exchange Chromatography-II</w:t>
      </w:r>
    </w:p>
    <w:p>
      <w:pPr>
        <w:pStyle w:val="Heading4"/>
        <w:spacing w:before="256"/>
        <w:jc w:val="left"/>
      </w:pPr>
      <w:r>
        <w:rPr/>
        <w:t>Applications of Ion-exchange chromatography</w:t>
      </w:r>
    </w:p>
    <w:p>
      <w:pPr>
        <w:pStyle w:val="BodyText"/>
        <w:spacing w:before="9"/>
        <w:rPr>
          <w:b/>
          <w:sz w:val="28"/>
        </w:rPr>
      </w:pPr>
    </w:p>
    <w:p>
      <w:pPr>
        <w:pStyle w:val="ListParagraph"/>
        <w:numPr>
          <w:ilvl w:val="0"/>
          <w:numId w:val="35"/>
        </w:numPr>
        <w:tabs>
          <w:tab w:pos="612" w:val="left" w:leader="none"/>
        </w:tabs>
        <w:spacing w:line="360" w:lineRule="auto" w:before="0" w:after="0"/>
        <w:ind w:left="300" w:right="317" w:firstLine="0"/>
        <w:jc w:val="both"/>
        <w:rPr>
          <w:sz w:val="24"/>
        </w:rPr>
      </w:pPr>
      <w:r>
        <w:rPr>
          <w:b/>
          <w:sz w:val="24"/>
        </w:rPr>
        <w:t>Protein Purification-</w:t>
      </w:r>
      <w:r>
        <w:rPr>
          <w:sz w:val="24"/>
        </w:rPr>
        <w:t>In the previous lecture we have already discussed how protein can be purified using ion-exchange</w:t>
      </w:r>
      <w:r>
        <w:rPr>
          <w:spacing w:val="-5"/>
          <w:sz w:val="24"/>
        </w:rPr>
        <w:t> </w:t>
      </w:r>
      <w:r>
        <w:rPr>
          <w:sz w:val="24"/>
        </w:rPr>
        <w:t>chromatography.</w:t>
      </w:r>
    </w:p>
    <w:p>
      <w:pPr>
        <w:pStyle w:val="ListParagraph"/>
        <w:numPr>
          <w:ilvl w:val="0"/>
          <w:numId w:val="35"/>
        </w:numPr>
        <w:tabs>
          <w:tab w:pos="636" w:val="left" w:leader="none"/>
        </w:tabs>
        <w:spacing w:line="360" w:lineRule="auto" w:before="202" w:after="0"/>
        <w:ind w:left="300" w:right="310" w:firstLine="0"/>
        <w:jc w:val="both"/>
        <w:rPr>
          <w:sz w:val="24"/>
        </w:rPr>
      </w:pPr>
      <w:r>
        <w:rPr>
          <w:b/>
          <w:sz w:val="24"/>
        </w:rPr>
        <w:t>Protein-DNA interaction-</w:t>
      </w:r>
      <w:r>
        <w:rPr>
          <w:sz w:val="24"/>
        </w:rPr>
        <w:t>Ion-exchange column is used as a tool to study interaction between DNA and a particular protein. DNA is negatively charged and has strong affinity towards anion exchange chromatography. A schematic figure to depict the steps involved in DNA-protein interaction is given in (Figure 30.1). In this approach, anion exchange matrix is incubated with the DNA and allowed it to bind tightly. Excesss DNA is washed from the column. Now the pure protein is passed through the DNA bound beads, followed by washing with the buffer to remove unbounded proteins. Now the DNA is eluted from the matrix either by adding high salt concentration or with denaturating condition. Now the fractions are tested for the presence of DNA and protein. Eluted protein is analyzed in the SDS-PAGE and DNA is in agarose. As a control, protein is also added to the matrix without DNA to rule out the possibility of protein binding directly to the matrix. </w:t>
      </w:r>
      <w:r>
        <w:rPr>
          <w:spacing w:val="-3"/>
          <w:sz w:val="24"/>
        </w:rPr>
        <w:t>If </w:t>
      </w:r>
      <w:r>
        <w:rPr>
          <w:sz w:val="24"/>
        </w:rPr>
        <w:t>protein will have a affinity towards DNA, they both will comes out from the column at the same time and should give similar pattern in the elution profile. </w:t>
      </w:r>
      <w:r>
        <w:rPr>
          <w:spacing w:val="-3"/>
          <w:sz w:val="24"/>
        </w:rPr>
        <w:t>It </w:t>
      </w:r>
      <w:r>
        <w:rPr>
          <w:sz w:val="24"/>
        </w:rPr>
        <w:t>could be possible that high salt may break interaction between DNA and protein, in such situation protein will comes out first followed by DNA. Besides this ion-exchange chromatography approach still be able to answer whether the DNA-protein are interacting with each other or</w:t>
      </w:r>
      <w:r>
        <w:rPr>
          <w:spacing w:val="-11"/>
          <w:sz w:val="24"/>
        </w:rPr>
        <w:t> </w:t>
      </w:r>
      <w:r>
        <w:rPr>
          <w:sz w:val="24"/>
        </w:rPr>
        <w:t>not.</w:t>
      </w:r>
    </w:p>
    <w:p>
      <w:pPr>
        <w:spacing w:after="0" w:line="360" w:lineRule="auto"/>
        <w:jc w:val="both"/>
        <w:rPr>
          <w:sz w:val="24"/>
        </w:rPr>
        <w:sectPr>
          <w:pgSz w:w="11910" w:h="16840"/>
          <w:pgMar w:header="722" w:footer="748" w:top="1300" w:bottom="940" w:left="1500" w:right="1480"/>
        </w:sectPr>
      </w:pPr>
    </w:p>
    <w:p>
      <w:pPr>
        <w:pStyle w:val="BodyText"/>
        <w:spacing w:before="11"/>
        <w:rPr>
          <w:sz w:val="10"/>
        </w:rPr>
      </w:pPr>
    </w:p>
    <w:p>
      <w:pPr>
        <w:pStyle w:val="BodyText"/>
        <w:ind w:left="403"/>
        <w:rPr>
          <w:sz w:val="20"/>
        </w:rPr>
      </w:pPr>
      <w:r>
        <w:rPr>
          <w:sz w:val="20"/>
        </w:rPr>
        <w:drawing>
          <wp:inline distT="0" distB="0" distL="0" distR="0">
            <wp:extent cx="5145430" cy="3560064"/>
            <wp:effectExtent l="0" t="0" r="0" b="0"/>
            <wp:docPr id="325" name="image167.png"/>
            <wp:cNvGraphicFramePr>
              <a:graphicFrameLocks noChangeAspect="1"/>
            </wp:cNvGraphicFramePr>
            <a:graphic>
              <a:graphicData uri="http://schemas.openxmlformats.org/drawingml/2006/picture">
                <pic:pic>
                  <pic:nvPicPr>
                    <pic:cNvPr id="326" name="image167.png"/>
                    <pic:cNvPicPr/>
                  </pic:nvPicPr>
                  <pic:blipFill>
                    <a:blip r:embed="rId181" cstate="print"/>
                    <a:stretch>
                      <a:fillRect/>
                    </a:stretch>
                  </pic:blipFill>
                  <pic:spPr>
                    <a:xfrm>
                      <a:off x="0" y="0"/>
                      <a:ext cx="5145430" cy="3560064"/>
                    </a:xfrm>
                    <a:prstGeom prst="rect">
                      <a:avLst/>
                    </a:prstGeom>
                  </pic:spPr>
                </pic:pic>
              </a:graphicData>
            </a:graphic>
          </wp:inline>
        </w:drawing>
      </w:r>
      <w:r>
        <w:rPr>
          <w:sz w:val="20"/>
        </w:rPr>
      </w:r>
    </w:p>
    <w:p>
      <w:pPr>
        <w:pStyle w:val="BodyText"/>
        <w:rPr>
          <w:sz w:val="20"/>
        </w:rPr>
      </w:pPr>
    </w:p>
    <w:p>
      <w:pPr>
        <w:pStyle w:val="BodyText"/>
        <w:spacing w:before="3"/>
        <w:rPr>
          <w:sz w:val="19"/>
        </w:rPr>
      </w:pPr>
    </w:p>
    <w:p>
      <w:pPr>
        <w:spacing w:before="0"/>
        <w:ind w:left="601" w:right="617" w:firstLine="0"/>
        <w:jc w:val="center"/>
        <w:rPr>
          <w:b/>
          <w:sz w:val="16"/>
        </w:rPr>
      </w:pPr>
      <w:r>
        <w:rPr>
          <w:b/>
          <w:sz w:val="16"/>
        </w:rPr>
        <w:t>Figure 30.1: DNA-Protein interaction.</w:t>
      </w:r>
    </w:p>
    <w:p>
      <w:pPr>
        <w:pStyle w:val="BodyText"/>
        <w:rPr>
          <w:b/>
          <w:sz w:val="18"/>
        </w:rPr>
      </w:pPr>
    </w:p>
    <w:p>
      <w:pPr>
        <w:pStyle w:val="BodyText"/>
        <w:spacing w:before="9"/>
        <w:rPr>
          <w:b/>
          <w:sz w:val="18"/>
        </w:rPr>
      </w:pPr>
    </w:p>
    <w:p>
      <w:pPr>
        <w:pStyle w:val="ListParagraph"/>
        <w:numPr>
          <w:ilvl w:val="0"/>
          <w:numId w:val="35"/>
        </w:numPr>
        <w:tabs>
          <w:tab w:pos="550" w:val="left" w:leader="none"/>
        </w:tabs>
        <w:spacing w:line="360" w:lineRule="auto" w:before="0" w:after="0"/>
        <w:ind w:left="299" w:right="315" w:firstLine="0"/>
        <w:jc w:val="both"/>
        <w:rPr>
          <w:sz w:val="24"/>
        </w:rPr>
      </w:pPr>
      <w:r>
        <w:rPr>
          <w:b/>
          <w:sz w:val="24"/>
        </w:rPr>
        <w:t>Softening of water-</w:t>
      </w:r>
      <w:r>
        <w:rPr>
          <w:sz w:val="24"/>
        </w:rPr>
        <w:t>Ground water has several metals such as Ca</w:t>
      </w:r>
      <w:r>
        <w:rPr>
          <w:sz w:val="24"/>
          <w:vertAlign w:val="superscript"/>
        </w:rPr>
        <w:t>2+</w:t>
      </w:r>
      <w:r>
        <w:rPr>
          <w:sz w:val="24"/>
          <w:vertAlign w:val="baseline"/>
        </w:rPr>
        <w:t>, Mg</w:t>
      </w:r>
      <w:r>
        <w:rPr>
          <w:sz w:val="24"/>
          <w:vertAlign w:val="superscript"/>
        </w:rPr>
        <w:t>2+</w:t>
      </w:r>
      <w:r>
        <w:rPr>
          <w:sz w:val="24"/>
          <w:vertAlign w:val="baseline"/>
        </w:rPr>
        <w:t> and other cationic metals. Due to presence of the metal, hard water creates problem in industrial settings. Ion-exchange chromatography is used to remove the metals present in the water through an exchange of matrix bound Na</w:t>
      </w:r>
      <w:r>
        <w:rPr>
          <w:sz w:val="24"/>
          <w:vertAlign w:val="superscript"/>
        </w:rPr>
        <w:t>+</w:t>
      </w:r>
      <w:r>
        <w:rPr>
          <w:sz w:val="24"/>
          <w:vertAlign w:val="baseline"/>
        </w:rPr>
        <w:t> (Figure 30.2). Calcium or  magnesium present in the hard water has more affinity towards the matrix and it replaces with matrix bound sodium ions. The schematic presentation of water softening is given in Figure 30.3. A cation exchanger matrix with bound sodium is packed in the column and the hard water containing calcium, magnesium is</w:t>
      </w:r>
      <w:r>
        <w:rPr>
          <w:spacing w:val="-12"/>
          <w:sz w:val="24"/>
          <w:vertAlign w:val="baseline"/>
        </w:rPr>
        <w:t> </w:t>
      </w:r>
      <w:r>
        <w:rPr>
          <w:sz w:val="24"/>
          <w:vertAlign w:val="baseline"/>
        </w:rPr>
        <w:t>passed</w:t>
      </w:r>
    </w:p>
    <w:p>
      <w:pPr>
        <w:spacing w:after="0" w:line="360" w:lineRule="auto"/>
        <w:jc w:val="both"/>
        <w:rPr>
          <w:sz w:val="24"/>
        </w:rPr>
        <w:sectPr>
          <w:pgSz w:w="11910" w:h="16840"/>
          <w:pgMar w:header="722" w:footer="748" w:top="1300" w:bottom="940" w:left="1500" w:right="1480"/>
        </w:sectPr>
      </w:pPr>
    </w:p>
    <w:p>
      <w:pPr>
        <w:pStyle w:val="BodyText"/>
        <w:spacing w:before="10"/>
        <w:rPr>
          <w:sz w:val="10"/>
        </w:rPr>
      </w:pPr>
    </w:p>
    <w:p>
      <w:pPr>
        <w:pStyle w:val="BodyText"/>
        <w:ind w:left="898"/>
        <w:rPr>
          <w:sz w:val="20"/>
        </w:rPr>
      </w:pPr>
      <w:r>
        <w:rPr>
          <w:sz w:val="20"/>
        </w:rPr>
        <w:drawing>
          <wp:inline distT="0" distB="0" distL="0" distR="0">
            <wp:extent cx="4523560" cy="2389631"/>
            <wp:effectExtent l="0" t="0" r="0" b="0"/>
            <wp:docPr id="327" name="image168.png"/>
            <wp:cNvGraphicFramePr>
              <a:graphicFrameLocks noChangeAspect="1"/>
            </wp:cNvGraphicFramePr>
            <a:graphic>
              <a:graphicData uri="http://schemas.openxmlformats.org/drawingml/2006/picture">
                <pic:pic>
                  <pic:nvPicPr>
                    <pic:cNvPr id="328" name="image168.png"/>
                    <pic:cNvPicPr/>
                  </pic:nvPicPr>
                  <pic:blipFill>
                    <a:blip r:embed="rId182" cstate="print"/>
                    <a:stretch>
                      <a:fillRect/>
                    </a:stretch>
                  </pic:blipFill>
                  <pic:spPr>
                    <a:xfrm>
                      <a:off x="0" y="0"/>
                      <a:ext cx="4523560" cy="2389631"/>
                    </a:xfrm>
                    <a:prstGeom prst="rect">
                      <a:avLst/>
                    </a:prstGeom>
                  </pic:spPr>
                </pic:pic>
              </a:graphicData>
            </a:graphic>
          </wp:inline>
        </w:drawing>
      </w:r>
      <w:r>
        <w:rPr>
          <w:sz w:val="20"/>
        </w:rPr>
      </w:r>
    </w:p>
    <w:p>
      <w:pPr>
        <w:pStyle w:val="BodyText"/>
        <w:rPr>
          <w:sz w:val="20"/>
        </w:rPr>
      </w:pPr>
    </w:p>
    <w:p>
      <w:pPr>
        <w:pStyle w:val="BodyText"/>
        <w:spacing w:before="10"/>
        <w:rPr>
          <w:sz w:val="18"/>
        </w:rPr>
      </w:pPr>
    </w:p>
    <w:p>
      <w:pPr>
        <w:spacing w:before="0"/>
        <w:ind w:left="598" w:right="617" w:firstLine="0"/>
        <w:jc w:val="center"/>
        <w:rPr>
          <w:b/>
          <w:sz w:val="16"/>
        </w:rPr>
      </w:pPr>
      <w:r>
        <w:rPr>
          <w:b/>
          <w:sz w:val="16"/>
        </w:rPr>
        <w:t>Figure 30.2: Mechanism of metal exchange during water softening.</w:t>
      </w:r>
    </w:p>
    <w:p>
      <w:pPr>
        <w:pStyle w:val="BodyText"/>
        <w:rPr>
          <w:b/>
          <w:sz w:val="18"/>
        </w:rPr>
      </w:pPr>
    </w:p>
    <w:p>
      <w:pPr>
        <w:pStyle w:val="BodyText"/>
        <w:rPr>
          <w:b/>
          <w:sz w:val="18"/>
        </w:rPr>
      </w:pPr>
    </w:p>
    <w:p>
      <w:pPr>
        <w:pStyle w:val="BodyText"/>
        <w:spacing w:line="360" w:lineRule="auto" w:before="129"/>
        <w:ind w:left="300" w:right="316"/>
        <w:jc w:val="both"/>
      </w:pPr>
      <w:r>
        <w:rPr/>
        <w:drawing>
          <wp:anchor distT="0" distB="0" distL="0" distR="0" allowOverlap="1" layoutInCell="1" locked="0" behindDoc="0" simplePos="0" relativeHeight="317">
            <wp:simplePos x="0" y="0"/>
            <wp:positionH relativeFrom="page">
              <wp:posOffset>1192950</wp:posOffset>
            </wp:positionH>
            <wp:positionV relativeFrom="paragraph">
              <wp:posOffset>1738580</wp:posOffset>
            </wp:positionV>
            <wp:extent cx="5181193" cy="2231136"/>
            <wp:effectExtent l="0" t="0" r="0" b="0"/>
            <wp:wrapTopAndBottom/>
            <wp:docPr id="329" name="image169.png"/>
            <wp:cNvGraphicFramePr>
              <a:graphicFrameLocks noChangeAspect="1"/>
            </wp:cNvGraphicFramePr>
            <a:graphic>
              <a:graphicData uri="http://schemas.openxmlformats.org/drawingml/2006/picture">
                <pic:pic>
                  <pic:nvPicPr>
                    <pic:cNvPr id="330" name="image169.png"/>
                    <pic:cNvPicPr/>
                  </pic:nvPicPr>
                  <pic:blipFill>
                    <a:blip r:embed="rId183" cstate="print"/>
                    <a:stretch>
                      <a:fillRect/>
                    </a:stretch>
                  </pic:blipFill>
                  <pic:spPr>
                    <a:xfrm>
                      <a:off x="0" y="0"/>
                      <a:ext cx="5181193" cy="2231136"/>
                    </a:xfrm>
                    <a:prstGeom prst="rect">
                      <a:avLst/>
                    </a:prstGeom>
                  </pic:spPr>
                </pic:pic>
              </a:graphicData>
            </a:graphic>
          </wp:anchor>
        </w:drawing>
      </w:r>
      <w:r>
        <w:rPr/>
        <w:t>through the column. In this process, calcium present in the solution preferentially migrate from the solution to the matrix where as sodium ion present on the matrix migrate into the solution. The matrix can be use for softening of the water until it has bound sodium ions. Once sodium ions are exhausted, matrix can be regenerated by flowing a solution of sodium chloride or sodium hydroxide. The calcium/magnesium bound to the matrix comes out in the solution and can be dumped into the sewage.</w:t>
      </w:r>
    </w:p>
    <w:p>
      <w:pPr>
        <w:spacing w:before="220"/>
        <w:ind w:left="292" w:right="309" w:firstLine="0"/>
        <w:jc w:val="center"/>
        <w:rPr>
          <w:b/>
          <w:sz w:val="16"/>
        </w:rPr>
      </w:pPr>
      <w:r>
        <w:rPr>
          <w:b/>
          <w:sz w:val="16"/>
        </w:rPr>
        <w:t>Figure 30.3: Softening of water by a cation exchanger matrix column. [NEEDS RECONSTRUCTION].</w:t>
      </w:r>
    </w:p>
    <w:p>
      <w:pPr>
        <w:spacing w:after="0"/>
        <w:jc w:val="center"/>
        <w:rPr>
          <w:sz w:val="16"/>
        </w:rPr>
        <w:sectPr>
          <w:pgSz w:w="11910" w:h="16840"/>
          <w:pgMar w:header="722" w:footer="748" w:top="1300" w:bottom="940" w:left="1500" w:right="1480"/>
        </w:sectPr>
      </w:pPr>
    </w:p>
    <w:p>
      <w:pPr>
        <w:pStyle w:val="ListParagraph"/>
        <w:numPr>
          <w:ilvl w:val="0"/>
          <w:numId w:val="35"/>
        </w:numPr>
        <w:tabs>
          <w:tab w:pos="562" w:val="left" w:leader="none"/>
        </w:tabs>
        <w:spacing w:line="360" w:lineRule="auto" w:before="119" w:after="0"/>
        <w:ind w:left="300" w:right="316" w:firstLine="0"/>
        <w:jc w:val="both"/>
        <w:rPr>
          <w:sz w:val="24"/>
        </w:rPr>
      </w:pPr>
      <w:r>
        <w:rPr>
          <w:b/>
          <w:sz w:val="24"/>
        </w:rPr>
        <w:t>Protein kinase assay- </w:t>
      </w:r>
      <w:r>
        <w:rPr>
          <w:sz w:val="24"/>
        </w:rPr>
        <w:t>Protein kinase are class of enzyme responsible for transfer of phosphate group on the substrate molecule. </w:t>
      </w:r>
      <w:r>
        <w:rPr>
          <w:spacing w:val="-3"/>
          <w:sz w:val="24"/>
        </w:rPr>
        <w:t>In </w:t>
      </w:r>
      <w:r>
        <w:rPr>
          <w:sz w:val="24"/>
        </w:rPr>
        <w:t>the protein kinase assay, a radioactive substrate (preferable a radioactivity on carbon) was incubated with the enzyme protein kinase, MgCl</w:t>
      </w:r>
      <w:r>
        <w:rPr>
          <w:sz w:val="24"/>
          <w:vertAlign w:val="subscript"/>
        </w:rPr>
        <w:t>2</w:t>
      </w:r>
      <w:r>
        <w:rPr>
          <w:sz w:val="24"/>
          <w:vertAlign w:val="baseline"/>
        </w:rPr>
        <w:t> and non-radioactive ATP. A negative control is also been included where enzyme protein kinase is absent from the assay mixture. Reaction mixture from negative control and experimental will be loaded on two separate cation exchange chromatography columns to bind unphosphorylated substrate from the reaction mixture where as phosphorylated radioactive substrate is present in the flow through. The radioactive count of the flow through was measured using a liquid scintillation reagent (Figure</w:t>
      </w:r>
      <w:r>
        <w:rPr>
          <w:spacing w:val="-4"/>
          <w:sz w:val="24"/>
          <w:vertAlign w:val="baseline"/>
        </w:rPr>
        <w:t> </w:t>
      </w:r>
      <w:r>
        <w:rPr>
          <w:sz w:val="24"/>
          <w:vertAlign w:val="baseline"/>
        </w:rPr>
        <w:t>30.4).</w:t>
      </w:r>
    </w:p>
    <w:p>
      <w:pPr>
        <w:pStyle w:val="BodyText"/>
        <w:rPr>
          <w:sz w:val="20"/>
        </w:rPr>
      </w:pPr>
    </w:p>
    <w:p>
      <w:pPr>
        <w:pStyle w:val="BodyText"/>
        <w:rPr>
          <w:sz w:val="20"/>
        </w:rPr>
      </w:pPr>
    </w:p>
    <w:p>
      <w:pPr>
        <w:pStyle w:val="BodyText"/>
        <w:rPr>
          <w:sz w:val="28"/>
        </w:rPr>
      </w:pPr>
      <w:r>
        <w:rPr/>
        <w:drawing>
          <wp:anchor distT="0" distB="0" distL="0" distR="0" allowOverlap="1" layoutInCell="1" locked="0" behindDoc="0" simplePos="0" relativeHeight="318">
            <wp:simplePos x="0" y="0"/>
            <wp:positionH relativeFrom="page">
              <wp:posOffset>1232665</wp:posOffset>
            </wp:positionH>
            <wp:positionV relativeFrom="paragraph">
              <wp:posOffset>229236</wp:posOffset>
            </wp:positionV>
            <wp:extent cx="5103871" cy="3962400"/>
            <wp:effectExtent l="0" t="0" r="0" b="0"/>
            <wp:wrapTopAndBottom/>
            <wp:docPr id="331" name="image170.png"/>
            <wp:cNvGraphicFramePr>
              <a:graphicFrameLocks noChangeAspect="1"/>
            </wp:cNvGraphicFramePr>
            <a:graphic>
              <a:graphicData uri="http://schemas.openxmlformats.org/drawingml/2006/picture">
                <pic:pic>
                  <pic:nvPicPr>
                    <pic:cNvPr id="332" name="image170.png"/>
                    <pic:cNvPicPr/>
                  </pic:nvPicPr>
                  <pic:blipFill>
                    <a:blip r:embed="rId184" cstate="print"/>
                    <a:stretch>
                      <a:fillRect/>
                    </a:stretch>
                  </pic:blipFill>
                  <pic:spPr>
                    <a:xfrm>
                      <a:off x="0" y="0"/>
                      <a:ext cx="5103871" cy="3962400"/>
                    </a:xfrm>
                    <a:prstGeom prst="rect">
                      <a:avLst/>
                    </a:prstGeom>
                  </pic:spPr>
                </pic:pic>
              </a:graphicData>
            </a:graphic>
          </wp:anchor>
        </w:drawing>
      </w:r>
    </w:p>
    <w:p>
      <w:pPr>
        <w:pStyle w:val="BodyText"/>
        <w:spacing w:before="2"/>
        <w:rPr>
          <w:sz w:val="36"/>
        </w:rPr>
      </w:pPr>
    </w:p>
    <w:p>
      <w:pPr>
        <w:spacing w:before="0"/>
        <w:ind w:left="598" w:right="617" w:firstLine="0"/>
        <w:jc w:val="center"/>
        <w:rPr>
          <w:b/>
          <w:sz w:val="16"/>
        </w:rPr>
      </w:pPr>
      <w:r>
        <w:rPr>
          <w:b/>
          <w:sz w:val="16"/>
        </w:rPr>
        <w:t>Figure 30.4: Protein kinase assay using ion-exchange chromatography.</w:t>
      </w:r>
    </w:p>
    <w:p>
      <w:pPr>
        <w:spacing w:after="0"/>
        <w:jc w:val="center"/>
        <w:rPr>
          <w:sz w:val="16"/>
        </w:rPr>
        <w:sectPr>
          <w:pgSz w:w="11910" w:h="16840"/>
          <w:pgMar w:header="722" w:footer="748" w:top="1300" w:bottom="940" w:left="1500" w:right="1480"/>
        </w:sectPr>
      </w:pPr>
    </w:p>
    <w:p>
      <w:pPr>
        <w:pStyle w:val="BodyText"/>
        <w:rPr>
          <w:b/>
          <w:sz w:val="20"/>
        </w:rPr>
      </w:pPr>
    </w:p>
    <w:p>
      <w:pPr>
        <w:pStyle w:val="BodyText"/>
        <w:rPr>
          <w:b/>
          <w:sz w:val="20"/>
        </w:rPr>
      </w:pPr>
    </w:p>
    <w:p>
      <w:pPr>
        <w:pStyle w:val="BodyText"/>
        <w:rPr>
          <w:b/>
          <w:sz w:val="16"/>
        </w:rPr>
      </w:pPr>
    </w:p>
    <w:p>
      <w:pPr>
        <w:pStyle w:val="ListParagraph"/>
        <w:numPr>
          <w:ilvl w:val="0"/>
          <w:numId w:val="35"/>
        </w:numPr>
        <w:tabs>
          <w:tab w:pos="574" w:val="left" w:leader="none"/>
        </w:tabs>
        <w:spacing w:line="360" w:lineRule="auto" w:before="90" w:after="0"/>
        <w:ind w:left="299" w:right="315" w:firstLine="0"/>
        <w:jc w:val="both"/>
        <w:rPr>
          <w:sz w:val="24"/>
        </w:rPr>
      </w:pPr>
      <w:r>
        <w:rPr>
          <w:b/>
          <w:sz w:val="24"/>
        </w:rPr>
        <w:t>Purification of rare earth metals from nuclear waste- </w:t>
      </w:r>
      <w:r>
        <w:rPr>
          <w:sz w:val="24"/>
        </w:rPr>
        <w:t>Ion-exchange matrix is used to isolate and purify rare earth metals such as uranium or plutonium. The first process to isolate uranium in large quantities was developed by frank spedding. Ion- exchange beads are also found suitable to recover uranium from the water coming out of the nuclear power plant. Uranium binds to the matrix through the ion-exchange process. The uranium bound bead is sent to the processing unit where uranium is isolated from the beads to form </w:t>
      </w:r>
      <w:r>
        <w:rPr>
          <w:b/>
          <w:sz w:val="24"/>
        </w:rPr>
        <w:t>‘yellow cake’ </w:t>
      </w:r>
      <w:r>
        <w:rPr>
          <w:sz w:val="24"/>
        </w:rPr>
        <w:t>and stored in drum for further processing. The ion-exchange beads can be reused in the ion-exchange</w:t>
      </w:r>
      <w:r>
        <w:rPr>
          <w:spacing w:val="-9"/>
          <w:sz w:val="24"/>
        </w:rPr>
        <w:t> </w:t>
      </w:r>
      <w:r>
        <w:rPr>
          <w:sz w:val="24"/>
        </w:rPr>
        <w:t>facility.</w:t>
      </w:r>
    </w:p>
    <w:p>
      <w:pPr>
        <w:pStyle w:val="ListParagraph"/>
        <w:numPr>
          <w:ilvl w:val="0"/>
          <w:numId w:val="35"/>
        </w:numPr>
        <w:tabs>
          <w:tab w:pos="581" w:val="left" w:leader="none"/>
        </w:tabs>
        <w:spacing w:line="360" w:lineRule="auto" w:before="199" w:after="0"/>
        <w:ind w:left="299" w:right="317" w:firstLine="0"/>
        <w:jc w:val="both"/>
        <w:rPr>
          <w:sz w:val="24"/>
        </w:rPr>
      </w:pPr>
      <w:r>
        <w:rPr>
          <w:b/>
          <w:sz w:val="24"/>
        </w:rPr>
        <w:t>Concentrating a sample-</w:t>
      </w:r>
      <w:r>
        <w:rPr>
          <w:sz w:val="24"/>
        </w:rPr>
        <w:t>A ion-exchange bead can be used to bind the analyte from a diluted solution and then sample can be eluted in smaller volume to increase the</w:t>
      </w:r>
      <w:r>
        <w:rPr>
          <w:spacing w:val="-2"/>
          <w:sz w:val="24"/>
        </w:rPr>
        <w:t> </w:t>
      </w:r>
      <w:r>
        <w:rPr>
          <w:sz w:val="24"/>
        </w:rPr>
        <w:t>concentration.</w:t>
      </w:r>
    </w:p>
    <w:p>
      <w:pPr>
        <w:spacing w:after="0" w:line="360" w:lineRule="auto"/>
        <w:jc w:val="both"/>
        <w:rPr>
          <w:sz w:val="24"/>
        </w:rPr>
        <w:sectPr>
          <w:pgSz w:w="11910" w:h="16840"/>
          <w:pgMar w:header="722" w:footer="748" w:top="1300" w:bottom="940" w:left="1500" w:right="1480"/>
        </w:sectPr>
      </w:pPr>
    </w:p>
    <w:p>
      <w:pPr>
        <w:pStyle w:val="Heading2"/>
      </w:pPr>
      <w:r>
        <w:rPr/>
        <w:t>Lecture 31: Hydrophobic Interaction Chromatography</w:t>
      </w:r>
    </w:p>
    <w:p>
      <w:pPr>
        <w:pStyle w:val="BodyText"/>
        <w:spacing w:line="360" w:lineRule="auto" w:before="251"/>
        <w:ind w:left="300" w:right="315"/>
        <w:jc w:val="both"/>
      </w:pPr>
      <w:r>
        <w:rPr>
          <w:b/>
        </w:rPr>
        <w:t>Hydrophobic Interaction Chromatography: </w:t>
      </w:r>
      <w:r>
        <w:rPr/>
        <w:t>Hydrophobic interaction chromatography exploits the ability of a strong interaction between hydrophobic group attached to the matrix and hydrophobic patches present on an analyte such as protein. Protein is made-up of amino acids with acidic, basic, polar and non-polar (aliphatic or aromatic) side chain. Protein is synthesized from ribosome as a linear chain and afterwards it gets folded into a 3-D conformation mostly guided by the environment of side chain and the outer medium. Local environment in a cell is aqeous and it favors the folding of protein to keep the polar or charged amino acids on the surface and non-polar side chain within the inner core (Figure 31.1). Most of the hydrophobic amino acids are shielded from the outer polar environment where as polar amino acid present on the surface has bound water molecule to form a hydration shell.</w:t>
      </w:r>
    </w:p>
    <w:p>
      <w:pPr>
        <w:pStyle w:val="BodyText"/>
        <w:spacing w:before="6"/>
        <w:rPr>
          <w:sz w:val="14"/>
        </w:rPr>
      </w:pPr>
      <w:r>
        <w:rPr/>
        <w:drawing>
          <wp:anchor distT="0" distB="0" distL="0" distR="0" allowOverlap="1" layoutInCell="1" locked="0" behindDoc="0" simplePos="0" relativeHeight="319">
            <wp:simplePos x="0" y="0"/>
            <wp:positionH relativeFrom="page">
              <wp:posOffset>1248744</wp:posOffset>
            </wp:positionH>
            <wp:positionV relativeFrom="paragraph">
              <wp:posOffset>131206</wp:posOffset>
            </wp:positionV>
            <wp:extent cx="5073869" cy="4017263"/>
            <wp:effectExtent l="0" t="0" r="0" b="0"/>
            <wp:wrapTopAndBottom/>
            <wp:docPr id="333" name="image171.png"/>
            <wp:cNvGraphicFramePr>
              <a:graphicFrameLocks noChangeAspect="1"/>
            </wp:cNvGraphicFramePr>
            <a:graphic>
              <a:graphicData uri="http://schemas.openxmlformats.org/drawingml/2006/picture">
                <pic:pic>
                  <pic:nvPicPr>
                    <pic:cNvPr id="334" name="image171.png"/>
                    <pic:cNvPicPr/>
                  </pic:nvPicPr>
                  <pic:blipFill>
                    <a:blip r:embed="rId185" cstate="print"/>
                    <a:stretch>
                      <a:fillRect/>
                    </a:stretch>
                  </pic:blipFill>
                  <pic:spPr>
                    <a:xfrm>
                      <a:off x="0" y="0"/>
                      <a:ext cx="5073869" cy="4017263"/>
                    </a:xfrm>
                    <a:prstGeom prst="rect">
                      <a:avLst/>
                    </a:prstGeom>
                  </pic:spPr>
                </pic:pic>
              </a:graphicData>
            </a:graphic>
          </wp:anchor>
        </w:drawing>
      </w:r>
    </w:p>
    <w:p>
      <w:pPr>
        <w:pStyle w:val="BodyText"/>
        <w:spacing w:before="4"/>
        <w:rPr>
          <w:sz w:val="36"/>
        </w:rPr>
      </w:pPr>
    </w:p>
    <w:p>
      <w:pPr>
        <w:spacing w:before="0"/>
        <w:ind w:left="300" w:right="314" w:firstLine="0"/>
        <w:jc w:val="both"/>
        <w:rPr>
          <w:b/>
          <w:sz w:val="16"/>
        </w:rPr>
      </w:pPr>
      <w:r>
        <w:rPr>
          <w:b/>
          <w:sz w:val="16"/>
        </w:rPr>
        <w:t>Figure 31.1: Folding of Protein in an aqueous environment. Following a series of folding stages, protein adopts a 3-D conformation with hydrophobic patches present in the core.</w:t>
      </w:r>
    </w:p>
    <w:p>
      <w:pPr>
        <w:spacing w:after="0"/>
        <w:jc w:val="both"/>
        <w:rPr>
          <w:sz w:val="16"/>
        </w:rPr>
        <w:sectPr>
          <w:pgSz w:w="11910" w:h="16840"/>
          <w:pgMar w:header="722" w:footer="748" w:top="1300" w:bottom="940" w:left="1500" w:right="1480"/>
        </w:sectPr>
      </w:pPr>
    </w:p>
    <w:p>
      <w:pPr>
        <w:pStyle w:val="BodyText"/>
        <w:spacing w:line="360" w:lineRule="auto" w:before="119"/>
        <w:ind w:left="300" w:right="314"/>
        <w:jc w:val="both"/>
      </w:pPr>
      <w:r>
        <w:rPr/>
        <w:t>Addition of low amount of salt to the protein solution results in the displacement of bonded water molecule with an increase in protein solubility (Figure 31.2). This effect is called as </w:t>
      </w:r>
      <w:r>
        <w:rPr>
          <w:b/>
        </w:rPr>
        <w:t>“salting-in”</w:t>
      </w:r>
      <w:r>
        <w:rPr/>
        <w:t>. </w:t>
      </w:r>
      <w:r>
        <w:rPr>
          <w:spacing w:val="-3"/>
        </w:rPr>
        <w:t>In </w:t>
      </w:r>
      <w:r>
        <w:rPr/>
        <w:t>the presence of more amount of salt, water molecule shielding protein side chains are displaced completely with an exposure of hydrophobic patches on protein surface to induce protein precipitation or decrease in protein solubility. This effect is called as </w:t>
      </w:r>
      <w:r>
        <w:rPr>
          <w:b/>
        </w:rPr>
        <w:t>“salting-out”</w:t>
      </w:r>
      <w:r>
        <w:rPr/>
        <w:t>. The phenomenon of salting out is modulated so that addition of salt induces exposure of hydrophobic patches on protein but does not cause precipitation or aggregation. The exposure of hydrophobic patches facilitates the binding of protein to the non-polar ligand attached to the matrix. When the concentration of salt is decreased, the exposed hydrophobic patches on protein reduces the affinity towards matrix and as a result it get eluted (Figure 31.3).</w:t>
      </w:r>
    </w:p>
    <w:p>
      <w:pPr>
        <w:pStyle w:val="BodyText"/>
        <w:rPr>
          <w:sz w:val="20"/>
        </w:rPr>
      </w:pPr>
    </w:p>
    <w:p>
      <w:pPr>
        <w:pStyle w:val="BodyText"/>
        <w:rPr>
          <w:sz w:val="20"/>
        </w:rPr>
      </w:pPr>
    </w:p>
    <w:p>
      <w:pPr>
        <w:pStyle w:val="BodyText"/>
        <w:spacing w:before="11"/>
        <w:rPr>
          <w:sz w:val="27"/>
        </w:rPr>
      </w:pPr>
      <w:r>
        <w:rPr/>
        <w:drawing>
          <wp:anchor distT="0" distB="0" distL="0" distR="0" allowOverlap="1" layoutInCell="1" locked="0" behindDoc="0" simplePos="0" relativeHeight="320">
            <wp:simplePos x="0" y="0"/>
            <wp:positionH relativeFrom="page">
              <wp:posOffset>1162565</wp:posOffset>
            </wp:positionH>
            <wp:positionV relativeFrom="paragraph">
              <wp:posOffset>229204</wp:posOffset>
            </wp:positionV>
            <wp:extent cx="5281788" cy="2279904"/>
            <wp:effectExtent l="0" t="0" r="0" b="0"/>
            <wp:wrapTopAndBottom/>
            <wp:docPr id="335" name="image172.png"/>
            <wp:cNvGraphicFramePr>
              <a:graphicFrameLocks noChangeAspect="1"/>
            </wp:cNvGraphicFramePr>
            <a:graphic>
              <a:graphicData uri="http://schemas.openxmlformats.org/drawingml/2006/picture">
                <pic:pic>
                  <pic:nvPicPr>
                    <pic:cNvPr id="336" name="image172.png"/>
                    <pic:cNvPicPr/>
                  </pic:nvPicPr>
                  <pic:blipFill>
                    <a:blip r:embed="rId186" cstate="print"/>
                    <a:stretch>
                      <a:fillRect/>
                    </a:stretch>
                  </pic:blipFill>
                  <pic:spPr>
                    <a:xfrm>
                      <a:off x="0" y="0"/>
                      <a:ext cx="5281788" cy="2279904"/>
                    </a:xfrm>
                    <a:prstGeom prst="rect">
                      <a:avLst/>
                    </a:prstGeom>
                  </pic:spPr>
                </pic:pic>
              </a:graphicData>
            </a:graphic>
          </wp:anchor>
        </w:drawing>
      </w:r>
    </w:p>
    <w:p>
      <w:pPr>
        <w:pStyle w:val="BodyText"/>
        <w:spacing w:before="11"/>
        <w:rPr>
          <w:sz w:val="25"/>
        </w:rPr>
      </w:pPr>
    </w:p>
    <w:p>
      <w:pPr>
        <w:spacing w:before="0"/>
        <w:ind w:left="601" w:right="617" w:firstLine="0"/>
        <w:jc w:val="center"/>
        <w:rPr>
          <w:b/>
          <w:sz w:val="16"/>
        </w:rPr>
      </w:pPr>
      <w:r>
        <w:rPr>
          <w:b/>
          <w:sz w:val="16"/>
        </w:rPr>
        <w:t>Figure 31.2: Effect of salt on protein, salting in and salting out effect.</w:t>
      </w:r>
    </w:p>
    <w:p>
      <w:pPr>
        <w:spacing w:after="0"/>
        <w:jc w:val="center"/>
        <w:rPr>
          <w:sz w:val="16"/>
        </w:rPr>
        <w:sectPr>
          <w:pgSz w:w="11910" w:h="16840"/>
          <w:pgMar w:header="722" w:footer="748" w:top="1300" w:bottom="940" w:left="1500" w:right="1480"/>
        </w:sectPr>
      </w:pPr>
    </w:p>
    <w:p>
      <w:pPr>
        <w:pStyle w:val="BodyText"/>
        <w:rPr>
          <w:b/>
          <w:sz w:val="20"/>
        </w:rPr>
      </w:pPr>
    </w:p>
    <w:p>
      <w:pPr>
        <w:pStyle w:val="BodyText"/>
        <w:spacing w:before="7"/>
        <w:rPr>
          <w:b/>
          <w:sz w:val="27"/>
        </w:rPr>
      </w:pPr>
    </w:p>
    <w:p>
      <w:pPr>
        <w:pStyle w:val="BodyText"/>
        <w:spacing w:line="360" w:lineRule="auto" w:before="90"/>
        <w:ind w:left="300" w:right="316"/>
        <w:jc w:val="both"/>
      </w:pPr>
      <w:r>
        <w:rPr>
          <w:b/>
        </w:rPr>
        <w:t>The choice of HIC gel-</w:t>
      </w:r>
      <w:r>
        <w:rPr/>
        <w:t>The different commercially available HIC matrix are given in Table 31.1. Choosing a suitable HIC matrix is essential to achieve best result. The strength of the binding of analyte on a HIC column is governed by the length of the aliphatic linear ligand. Matrix with aromatic ring containing ligand makes additional Π-Π interaction and they will bind analyte more strongly than same number of carbon aliphatic ligand. In addition, presence of Π-Π interaction gives selectivity as well, such as ring containing aromatic ligand, phenylalanine. At last, ligand density plays a vital role in the strength of binding of an analyte to the matrix. Hence, these points should be consider to choose a suitable matrix for</w:t>
      </w:r>
      <w:r>
        <w:rPr>
          <w:spacing w:val="-6"/>
        </w:rPr>
        <w:t> </w:t>
      </w:r>
      <w:r>
        <w:rPr/>
        <w:t>purification.</w:t>
      </w:r>
    </w:p>
    <w:p>
      <w:pPr>
        <w:pStyle w:val="BodyText"/>
        <w:spacing w:before="5"/>
        <w:rPr>
          <w:sz w:val="14"/>
        </w:rPr>
      </w:pPr>
      <w:r>
        <w:rPr/>
        <w:drawing>
          <wp:anchor distT="0" distB="0" distL="0" distR="0" allowOverlap="1" layoutInCell="1" locked="0" behindDoc="0" simplePos="0" relativeHeight="321">
            <wp:simplePos x="0" y="0"/>
            <wp:positionH relativeFrom="page">
              <wp:posOffset>1165034</wp:posOffset>
            </wp:positionH>
            <wp:positionV relativeFrom="paragraph">
              <wp:posOffset>130793</wp:posOffset>
            </wp:positionV>
            <wp:extent cx="5249865" cy="1731264"/>
            <wp:effectExtent l="0" t="0" r="0" b="0"/>
            <wp:wrapTopAndBottom/>
            <wp:docPr id="337" name="image173.png"/>
            <wp:cNvGraphicFramePr>
              <a:graphicFrameLocks noChangeAspect="1"/>
            </wp:cNvGraphicFramePr>
            <a:graphic>
              <a:graphicData uri="http://schemas.openxmlformats.org/drawingml/2006/picture">
                <pic:pic>
                  <pic:nvPicPr>
                    <pic:cNvPr id="338" name="image173.png"/>
                    <pic:cNvPicPr/>
                  </pic:nvPicPr>
                  <pic:blipFill>
                    <a:blip r:embed="rId187" cstate="print"/>
                    <a:stretch>
                      <a:fillRect/>
                    </a:stretch>
                  </pic:blipFill>
                  <pic:spPr>
                    <a:xfrm>
                      <a:off x="0" y="0"/>
                      <a:ext cx="5249865" cy="1731264"/>
                    </a:xfrm>
                    <a:prstGeom prst="rect">
                      <a:avLst/>
                    </a:prstGeom>
                  </pic:spPr>
                </pic:pic>
              </a:graphicData>
            </a:graphic>
          </wp:anchor>
        </w:drawing>
      </w:r>
    </w:p>
    <w:p>
      <w:pPr>
        <w:pStyle w:val="BodyText"/>
        <w:spacing w:before="4" w:after="1"/>
        <w:rPr>
          <w:sz w:val="26"/>
        </w:rPr>
      </w:pPr>
    </w:p>
    <w:tbl>
      <w:tblPr>
        <w:tblW w:w="0" w:type="auto"/>
        <w:jc w:val="left"/>
        <w:tblInd w:w="1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77"/>
        <w:gridCol w:w="3513"/>
        <w:gridCol w:w="4239"/>
      </w:tblGrid>
      <w:tr>
        <w:trPr>
          <w:trHeight w:val="947" w:hRule="atLeast"/>
        </w:trPr>
        <w:tc>
          <w:tcPr>
            <w:tcW w:w="8529" w:type="dxa"/>
            <w:gridSpan w:val="3"/>
            <w:tcBorders>
              <w:bottom w:val="single" w:sz="4" w:space="0" w:color="000000"/>
            </w:tcBorders>
          </w:tcPr>
          <w:p>
            <w:pPr>
              <w:pStyle w:val="TableParagraph"/>
              <w:spacing w:line="178" w:lineRule="exact"/>
              <w:ind w:left="1370" w:right="1364"/>
              <w:jc w:val="center"/>
              <w:rPr>
                <w:b/>
                <w:sz w:val="16"/>
              </w:rPr>
            </w:pPr>
            <w:r>
              <w:rPr>
                <w:b/>
                <w:sz w:val="16"/>
              </w:rPr>
              <w:t>Figure 31.3: Principle of the hydrophobic interaction chromatography.</w:t>
            </w:r>
          </w:p>
        </w:tc>
      </w:tr>
      <w:tr>
        <w:trPr>
          <w:trHeight w:val="515" w:hRule="atLeast"/>
        </w:trPr>
        <w:tc>
          <w:tcPr>
            <w:tcW w:w="8529" w:type="dxa"/>
            <w:gridSpan w:val="3"/>
            <w:tcBorders>
              <w:top w:val="single" w:sz="4" w:space="0" w:color="000000"/>
              <w:bottom w:val="single" w:sz="4" w:space="0" w:color="000000"/>
            </w:tcBorders>
          </w:tcPr>
          <w:p>
            <w:pPr>
              <w:pStyle w:val="TableParagraph"/>
              <w:spacing w:line="240" w:lineRule="auto" w:before="116"/>
              <w:ind w:left="1431" w:right="1364"/>
              <w:jc w:val="center"/>
              <w:rPr>
                <w:b/>
                <w:sz w:val="24"/>
              </w:rPr>
            </w:pPr>
            <w:r>
              <w:rPr>
                <w:b/>
                <w:sz w:val="24"/>
              </w:rPr>
              <w:t>Table 31.1: Selected list of popular HIC column matrix.</w:t>
            </w:r>
          </w:p>
        </w:tc>
      </w:tr>
      <w:tr>
        <w:trPr>
          <w:trHeight w:val="517" w:hRule="atLeast"/>
        </w:trPr>
        <w:tc>
          <w:tcPr>
            <w:tcW w:w="777" w:type="dxa"/>
            <w:tcBorders>
              <w:top w:val="single" w:sz="4" w:space="0" w:color="000000"/>
              <w:bottom w:val="single" w:sz="4" w:space="0" w:color="000000"/>
            </w:tcBorders>
          </w:tcPr>
          <w:p>
            <w:pPr>
              <w:pStyle w:val="TableParagraph"/>
              <w:spacing w:line="275" w:lineRule="exact"/>
              <w:ind w:left="115"/>
              <w:rPr>
                <w:b/>
                <w:sz w:val="24"/>
              </w:rPr>
            </w:pPr>
            <w:r>
              <w:rPr>
                <w:b/>
                <w:sz w:val="24"/>
              </w:rPr>
              <w:t>S.NO</w:t>
            </w:r>
          </w:p>
        </w:tc>
        <w:tc>
          <w:tcPr>
            <w:tcW w:w="3513" w:type="dxa"/>
            <w:tcBorders>
              <w:top w:val="single" w:sz="4" w:space="0" w:color="000000"/>
              <w:bottom w:val="single" w:sz="4" w:space="0" w:color="000000"/>
            </w:tcBorders>
          </w:tcPr>
          <w:p>
            <w:pPr>
              <w:pStyle w:val="TableParagraph"/>
              <w:spacing w:line="275" w:lineRule="exact"/>
              <w:ind w:left="108"/>
              <w:rPr>
                <w:b/>
                <w:sz w:val="24"/>
              </w:rPr>
            </w:pPr>
            <w:r>
              <w:rPr>
                <w:b/>
                <w:sz w:val="24"/>
              </w:rPr>
              <w:t>Column Material</w:t>
            </w:r>
          </w:p>
        </w:tc>
        <w:tc>
          <w:tcPr>
            <w:tcW w:w="4239" w:type="dxa"/>
            <w:tcBorders>
              <w:top w:val="single" w:sz="4" w:space="0" w:color="000000"/>
              <w:bottom w:val="single" w:sz="4" w:space="0" w:color="000000"/>
            </w:tcBorders>
          </w:tcPr>
          <w:p>
            <w:pPr>
              <w:pStyle w:val="TableParagraph"/>
              <w:spacing w:line="275" w:lineRule="exact"/>
              <w:ind w:left="557"/>
              <w:rPr>
                <w:b/>
                <w:sz w:val="24"/>
              </w:rPr>
            </w:pPr>
            <w:r>
              <w:rPr>
                <w:b/>
                <w:sz w:val="24"/>
              </w:rPr>
              <w:t>Functional Group</w:t>
            </w:r>
          </w:p>
        </w:tc>
      </w:tr>
      <w:tr>
        <w:trPr>
          <w:trHeight w:val="395" w:hRule="atLeast"/>
        </w:trPr>
        <w:tc>
          <w:tcPr>
            <w:tcW w:w="777" w:type="dxa"/>
            <w:tcBorders>
              <w:top w:val="single" w:sz="4" w:space="0" w:color="000000"/>
            </w:tcBorders>
          </w:tcPr>
          <w:p>
            <w:pPr>
              <w:pStyle w:val="TableParagraph"/>
              <w:ind w:left="115"/>
              <w:rPr>
                <w:sz w:val="24"/>
              </w:rPr>
            </w:pPr>
            <w:r>
              <w:rPr>
                <w:sz w:val="24"/>
              </w:rPr>
              <w:t>1</w:t>
            </w:r>
          </w:p>
        </w:tc>
        <w:tc>
          <w:tcPr>
            <w:tcW w:w="3513" w:type="dxa"/>
            <w:tcBorders>
              <w:top w:val="single" w:sz="4" w:space="0" w:color="000000"/>
            </w:tcBorders>
          </w:tcPr>
          <w:p>
            <w:pPr>
              <w:pStyle w:val="TableParagraph"/>
              <w:ind w:left="108"/>
              <w:rPr>
                <w:sz w:val="24"/>
              </w:rPr>
            </w:pPr>
            <w:r>
              <w:rPr>
                <w:sz w:val="24"/>
              </w:rPr>
              <w:t>Butyl-S-Sepharose</w:t>
            </w:r>
          </w:p>
        </w:tc>
        <w:tc>
          <w:tcPr>
            <w:tcW w:w="4239" w:type="dxa"/>
            <w:tcBorders>
              <w:top w:val="single" w:sz="4" w:space="0" w:color="000000"/>
            </w:tcBorders>
          </w:tcPr>
          <w:p>
            <w:pPr>
              <w:pStyle w:val="TableParagraph"/>
              <w:ind w:left="557"/>
              <w:rPr>
                <w:sz w:val="24"/>
              </w:rPr>
            </w:pPr>
            <w:r>
              <w:rPr>
                <w:sz w:val="24"/>
              </w:rPr>
              <w:t>-Butyl</w:t>
            </w:r>
          </w:p>
        </w:tc>
      </w:tr>
      <w:tr>
        <w:trPr>
          <w:trHeight w:val="517" w:hRule="atLeast"/>
        </w:trPr>
        <w:tc>
          <w:tcPr>
            <w:tcW w:w="777" w:type="dxa"/>
          </w:tcPr>
          <w:p>
            <w:pPr>
              <w:pStyle w:val="TableParagraph"/>
              <w:spacing w:line="240" w:lineRule="auto" w:before="115"/>
              <w:ind w:left="115"/>
              <w:rPr>
                <w:sz w:val="24"/>
              </w:rPr>
            </w:pPr>
            <w:r>
              <w:rPr>
                <w:sz w:val="24"/>
              </w:rPr>
              <w:t>2</w:t>
            </w:r>
          </w:p>
        </w:tc>
        <w:tc>
          <w:tcPr>
            <w:tcW w:w="3513" w:type="dxa"/>
          </w:tcPr>
          <w:p>
            <w:pPr>
              <w:pStyle w:val="TableParagraph"/>
              <w:spacing w:line="240" w:lineRule="auto" w:before="115"/>
              <w:ind w:left="108"/>
              <w:rPr>
                <w:sz w:val="24"/>
              </w:rPr>
            </w:pPr>
            <w:r>
              <w:rPr>
                <w:sz w:val="24"/>
              </w:rPr>
              <w:t>Phenyl Sepharose (Low Sub)</w:t>
            </w:r>
          </w:p>
        </w:tc>
        <w:tc>
          <w:tcPr>
            <w:tcW w:w="4239" w:type="dxa"/>
          </w:tcPr>
          <w:p>
            <w:pPr>
              <w:pStyle w:val="TableParagraph"/>
              <w:spacing w:line="240" w:lineRule="auto" w:before="115"/>
              <w:ind w:left="557"/>
              <w:rPr>
                <w:sz w:val="24"/>
              </w:rPr>
            </w:pPr>
            <w:r>
              <w:rPr>
                <w:sz w:val="24"/>
              </w:rPr>
              <w:t>-Phenyl, low density</w:t>
            </w:r>
          </w:p>
        </w:tc>
      </w:tr>
      <w:tr>
        <w:trPr>
          <w:trHeight w:val="518" w:hRule="atLeast"/>
        </w:trPr>
        <w:tc>
          <w:tcPr>
            <w:tcW w:w="777" w:type="dxa"/>
          </w:tcPr>
          <w:p>
            <w:pPr>
              <w:pStyle w:val="TableParagraph"/>
              <w:spacing w:line="240" w:lineRule="auto" w:before="116"/>
              <w:ind w:left="115"/>
              <w:rPr>
                <w:sz w:val="24"/>
              </w:rPr>
            </w:pPr>
            <w:r>
              <w:rPr>
                <w:sz w:val="24"/>
              </w:rPr>
              <w:t>3</w:t>
            </w:r>
          </w:p>
        </w:tc>
        <w:tc>
          <w:tcPr>
            <w:tcW w:w="3513" w:type="dxa"/>
          </w:tcPr>
          <w:p>
            <w:pPr>
              <w:pStyle w:val="TableParagraph"/>
              <w:spacing w:line="240" w:lineRule="auto" w:before="116"/>
              <w:ind w:left="108"/>
              <w:rPr>
                <w:sz w:val="24"/>
              </w:rPr>
            </w:pPr>
            <w:r>
              <w:rPr>
                <w:sz w:val="24"/>
              </w:rPr>
              <w:t>Phenyl Sepharose (High Sub)</w:t>
            </w:r>
          </w:p>
        </w:tc>
        <w:tc>
          <w:tcPr>
            <w:tcW w:w="4239" w:type="dxa"/>
          </w:tcPr>
          <w:p>
            <w:pPr>
              <w:pStyle w:val="TableParagraph"/>
              <w:spacing w:line="240" w:lineRule="auto" w:before="116"/>
              <w:ind w:left="557"/>
              <w:rPr>
                <w:sz w:val="24"/>
              </w:rPr>
            </w:pPr>
            <w:r>
              <w:rPr>
                <w:sz w:val="24"/>
              </w:rPr>
              <w:t>-Phenyl, high density</w:t>
            </w:r>
          </w:p>
        </w:tc>
      </w:tr>
      <w:tr>
        <w:trPr>
          <w:trHeight w:val="517" w:hRule="atLeast"/>
        </w:trPr>
        <w:tc>
          <w:tcPr>
            <w:tcW w:w="777" w:type="dxa"/>
          </w:tcPr>
          <w:p>
            <w:pPr>
              <w:pStyle w:val="TableParagraph"/>
              <w:spacing w:line="240" w:lineRule="auto" w:before="116"/>
              <w:ind w:left="115"/>
              <w:rPr>
                <w:sz w:val="24"/>
              </w:rPr>
            </w:pPr>
            <w:r>
              <w:rPr>
                <w:sz w:val="24"/>
              </w:rPr>
              <w:t>4</w:t>
            </w:r>
          </w:p>
        </w:tc>
        <w:tc>
          <w:tcPr>
            <w:tcW w:w="3513" w:type="dxa"/>
          </w:tcPr>
          <w:p>
            <w:pPr>
              <w:pStyle w:val="TableParagraph"/>
              <w:spacing w:line="240" w:lineRule="auto" w:before="116"/>
              <w:ind w:left="108"/>
              <w:rPr>
                <w:sz w:val="24"/>
              </w:rPr>
            </w:pPr>
            <w:r>
              <w:rPr>
                <w:sz w:val="24"/>
              </w:rPr>
              <w:t>Capto phenyl sepharose</w:t>
            </w:r>
          </w:p>
        </w:tc>
        <w:tc>
          <w:tcPr>
            <w:tcW w:w="4239" w:type="dxa"/>
          </w:tcPr>
          <w:p>
            <w:pPr>
              <w:pStyle w:val="TableParagraph"/>
              <w:spacing w:line="240" w:lineRule="auto" w:before="116"/>
              <w:ind w:left="557"/>
              <w:rPr>
                <w:sz w:val="24"/>
              </w:rPr>
            </w:pPr>
            <w:r>
              <w:rPr>
                <w:sz w:val="24"/>
              </w:rPr>
              <w:t>-Phenyl</w:t>
            </w:r>
          </w:p>
        </w:tc>
      </w:tr>
      <w:tr>
        <w:trPr>
          <w:trHeight w:val="638" w:hRule="atLeast"/>
        </w:trPr>
        <w:tc>
          <w:tcPr>
            <w:tcW w:w="777" w:type="dxa"/>
            <w:tcBorders>
              <w:bottom w:val="single" w:sz="4" w:space="0" w:color="000000"/>
            </w:tcBorders>
          </w:tcPr>
          <w:p>
            <w:pPr>
              <w:pStyle w:val="TableParagraph"/>
              <w:spacing w:line="240" w:lineRule="auto" w:before="115"/>
              <w:ind w:left="115"/>
              <w:rPr>
                <w:sz w:val="24"/>
              </w:rPr>
            </w:pPr>
            <w:r>
              <w:rPr>
                <w:sz w:val="24"/>
              </w:rPr>
              <w:t>5</w:t>
            </w:r>
          </w:p>
        </w:tc>
        <w:tc>
          <w:tcPr>
            <w:tcW w:w="3513" w:type="dxa"/>
            <w:tcBorders>
              <w:bottom w:val="single" w:sz="4" w:space="0" w:color="000000"/>
            </w:tcBorders>
          </w:tcPr>
          <w:p>
            <w:pPr>
              <w:pStyle w:val="TableParagraph"/>
              <w:spacing w:line="240" w:lineRule="auto" w:before="115"/>
              <w:ind w:left="108"/>
              <w:rPr>
                <w:sz w:val="24"/>
              </w:rPr>
            </w:pPr>
            <w:r>
              <w:rPr>
                <w:sz w:val="24"/>
              </w:rPr>
              <w:t>Octyl Sepharose</w:t>
            </w:r>
          </w:p>
        </w:tc>
        <w:tc>
          <w:tcPr>
            <w:tcW w:w="4239" w:type="dxa"/>
            <w:tcBorders>
              <w:bottom w:val="single" w:sz="4" w:space="0" w:color="000000"/>
            </w:tcBorders>
          </w:tcPr>
          <w:p>
            <w:pPr>
              <w:pStyle w:val="TableParagraph"/>
              <w:spacing w:line="240" w:lineRule="auto" w:before="115"/>
              <w:ind w:left="557"/>
              <w:rPr>
                <w:sz w:val="24"/>
              </w:rPr>
            </w:pPr>
            <w:r>
              <w:rPr>
                <w:sz w:val="24"/>
              </w:rPr>
              <w:t>-Octyl</w:t>
            </w:r>
          </w:p>
        </w:tc>
      </w:tr>
    </w:tbl>
    <w:p>
      <w:pPr>
        <w:spacing w:after="0" w:line="240" w:lineRule="auto"/>
        <w:rPr>
          <w:sz w:val="24"/>
        </w:rPr>
        <w:sectPr>
          <w:pgSz w:w="11910" w:h="16840"/>
          <w:pgMar w:header="722" w:footer="748" w:top="1300" w:bottom="940" w:left="1500" w:right="1480"/>
        </w:sectPr>
      </w:pPr>
    </w:p>
    <w:p>
      <w:pPr>
        <w:pStyle w:val="BodyText"/>
        <w:rPr>
          <w:sz w:val="20"/>
        </w:rPr>
      </w:pPr>
    </w:p>
    <w:p>
      <w:pPr>
        <w:pStyle w:val="BodyText"/>
        <w:rPr>
          <w:sz w:val="20"/>
        </w:rPr>
      </w:pPr>
    </w:p>
    <w:p>
      <w:pPr>
        <w:pStyle w:val="BodyText"/>
        <w:rPr>
          <w:sz w:val="16"/>
        </w:rPr>
      </w:pPr>
    </w:p>
    <w:p>
      <w:pPr>
        <w:spacing w:line="360" w:lineRule="auto" w:before="90"/>
        <w:ind w:left="299" w:right="319" w:firstLine="0"/>
        <w:jc w:val="both"/>
        <w:rPr>
          <w:sz w:val="24"/>
        </w:rPr>
      </w:pPr>
      <w:r>
        <w:rPr>
          <w:b/>
          <w:sz w:val="24"/>
        </w:rPr>
        <w:t>Operation of the technique-</w:t>
      </w:r>
      <w:r>
        <w:rPr>
          <w:sz w:val="24"/>
        </w:rPr>
        <w:t>Several parameters needs to be consider to perform hydrophobic interaction chromatography.</w:t>
      </w:r>
    </w:p>
    <w:p>
      <w:pPr>
        <w:pStyle w:val="ListParagraph"/>
        <w:numPr>
          <w:ilvl w:val="0"/>
          <w:numId w:val="36"/>
        </w:numPr>
        <w:tabs>
          <w:tab w:pos="591" w:val="left" w:leader="none"/>
        </w:tabs>
        <w:spacing w:line="360" w:lineRule="auto" w:before="199" w:after="0"/>
        <w:ind w:left="299" w:right="315" w:firstLine="0"/>
        <w:jc w:val="both"/>
        <w:rPr>
          <w:sz w:val="24"/>
        </w:rPr>
      </w:pPr>
      <w:r>
        <w:rPr>
          <w:b/>
          <w:sz w:val="24"/>
        </w:rPr>
        <w:t>Equlibration-</w:t>
      </w:r>
      <w:r>
        <w:rPr>
          <w:sz w:val="24"/>
        </w:rPr>
        <w:t>HIC column material packed in a column and equilibrate with a buffer containing 0.5-1.5M ammonium sulphate (mobile phase). The salt must be below the concentration where it has salting-out</w:t>
      </w:r>
      <w:r>
        <w:rPr>
          <w:spacing w:val="-3"/>
          <w:sz w:val="24"/>
        </w:rPr>
        <w:t> </w:t>
      </w:r>
      <w:r>
        <w:rPr>
          <w:sz w:val="24"/>
        </w:rPr>
        <w:t>effect.</w:t>
      </w:r>
    </w:p>
    <w:p>
      <w:pPr>
        <w:pStyle w:val="ListParagraph"/>
        <w:numPr>
          <w:ilvl w:val="0"/>
          <w:numId w:val="36"/>
        </w:numPr>
        <w:tabs>
          <w:tab w:pos="548" w:val="left" w:leader="none"/>
        </w:tabs>
        <w:spacing w:line="360" w:lineRule="auto" w:before="201" w:after="0"/>
        <w:ind w:left="299" w:right="317" w:firstLine="0"/>
        <w:jc w:val="both"/>
        <w:rPr>
          <w:sz w:val="24"/>
        </w:rPr>
      </w:pPr>
      <w:r>
        <w:rPr>
          <w:b/>
          <w:sz w:val="24"/>
        </w:rPr>
        <w:t>Sample Preparation- </w:t>
      </w:r>
      <w:r>
        <w:rPr>
          <w:sz w:val="24"/>
        </w:rPr>
        <w:t>The sample is prepared in the mobile phase and it should be free of suspended particle to avoid clogging of the column. The most recommended method to apply the sample is to inject the sample with a</w:t>
      </w:r>
      <w:r>
        <w:rPr>
          <w:spacing w:val="-12"/>
          <w:sz w:val="24"/>
        </w:rPr>
        <w:t> </w:t>
      </w:r>
      <w:r>
        <w:rPr>
          <w:sz w:val="24"/>
        </w:rPr>
        <w:t>syringe.</w:t>
      </w:r>
    </w:p>
    <w:p>
      <w:pPr>
        <w:pStyle w:val="ListParagraph"/>
        <w:numPr>
          <w:ilvl w:val="0"/>
          <w:numId w:val="36"/>
        </w:numPr>
        <w:tabs>
          <w:tab w:pos="555" w:val="left" w:leader="none"/>
        </w:tabs>
        <w:spacing w:line="360" w:lineRule="auto" w:before="200" w:after="0"/>
        <w:ind w:left="300" w:right="317" w:firstLine="0"/>
        <w:jc w:val="both"/>
        <w:rPr>
          <w:sz w:val="24"/>
        </w:rPr>
      </w:pPr>
      <w:r>
        <w:rPr>
          <w:b/>
          <w:sz w:val="24"/>
        </w:rPr>
        <w:t>Elution- </w:t>
      </w:r>
      <w:r>
        <w:rPr>
          <w:sz w:val="24"/>
        </w:rPr>
        <w:t>There are many ways to elute a analyte from the hydrophobic interaction column. (1) decreasing salt concentration, (2) changing the polarity of the mobile phase such as alchol, (3) By a detergent to displace the bound</w:t>
      </w:r>
      <w:r>
        <w:rPr>
          <w:spacing w:val="-9"/>
          <w:sz w:val="24"/>
        </w:rPr>
        <w:t> </w:t>
      </w:r>
      <w:r>
        <w:rPr>
          <w:sz w:val="24"/>
        </w:rPr>
        <w:t>protein.</w:t>
      </w:r>
    </w:p>
    <w:p>
      <w:pPr>
        <w:pStyle w:val="ListParagraph"/>
        <w:numPr>
          <w:ilvl w:val="0"/>
          <w:numId w:val="36"/>
        </w:numPr>
        <w:tabs>
          <w:tab w:pos="617" w:val="left" w:leader="none"/>
        </w:tabs>
        <w:spacing w:line="360" w:lineRule="auto" w:before="198" w:after="0"/>
        <w:ind w:left="300" w:right="317" w:firstLine="0"/>
        <w:jc w:val="both"/>
        <w:rPr>
          <w:sz w:val="24"/>
        </w:rPr>
      </w:pPr>
      <w:r>
        <w:rPr>
          <w:b/>
          <w:sz w:val="24"/>
        </w:rPr>
        <w:t>Column Regeneration- </w:t>
      </w:r>
      <w:r>
        <w:rPr>
          <w:sz w:val="24"/>
        </w:rPr>
        <w:t>After the elution of analyte, HIC column require a regeneration step to use next time. column is washed with 6M urea or guanidine hydrochloride to remove all non-specifically bound protein. The column is then equiliberated with mobile phase to regenerate the column. The column can be store at 4</w:t>
      </w:r>
      <w:r>
        <w:rPr>
          <w:sz w:val="24"/>
          <w:vertAlign w:val="superscript"/>
        </w:rPr>
        <w:t>0</w:t>
      </w:r>
      <w:r>
        <w:rPr>
          <w:sz w:val="24"/>
          <w:vertAlign w:val="baseline"/>
        </w:rPr>
        <w:t>C in the presence of 20% alchol containing 0.05% sodium</w:t>
      </w:r>
      <w:r>
        <w:rPr>
          <w:spacing w:val="-9"/>
          <w:sz w:val="24"/>
          <w:vertAlign w:val="baseline"/>
        </w:rPr>
        <w:t> </w:t>
      </w:r>
      <w:r>
        <w:rPr>
          <w:sz w:val="24"/>
          <w:vertAlign w:val="baseline"/>
        </w:rPr>
        <w:t>azide.</w:t>
      </w:r>
    </w:p>
    <w:p>
      <w:pPr>
        <w:spacing w:after="0" w:line="360" w:lineRule="auto"/>
        <w:jc w:val="both"/>
        <w:rPr>
          <w:sz w:val="24"/>
        </w:rPr>
        <w:sectPr>
          <w:pgSz w:w="11910" w:h="16840"/>
          <w:pgMar w:header="722" w:footer="748" w:top="1300" w:bottom="940" w:left="1500" w:right="1480"/>
        </w:sectPr>
      </w:pPr>
    </w:p>
    <w:p>
      <w:pPr>
        <w:pStyle w:val="Heading2"/>
      </w:pPr>
      <w:r>
        <w:rPr/>
        <w:t>Lecture 32 Gel Filtration Chromatography</w:t>
      </w:r>
    </w:p>
    <w:p>
      <w:pPr>
        <w:pStyle w:val="BodyText"/>
        <w:spacing w:line="360" w:lineRule="auto" w:before="251"/>
        <w:ind w:left="299" w:right="315"/>
        <w:jc w:val="both"/>
      </w:pPr>
      <w:r>
        <w:rPr>
          <w:b/>
        </w:rPr>
        <w:t>Introduction: </w:t>
      </w:r>
      <w:r>
        <w:rPr/>
        <w:t>This chromatography distributes the protein or analyte, based on their size by passing through a porous beads. The first report in 1955 described performing a chromatography column with swollen gel of maize starch to separate the protein based on their size. ‘</w:t>
      </w:r>
      <w:r>
        <w:rPr>
          <w:b/>
        </w:rPr>
        <w:t>Porath and Floidin</w:t>
      </w:r>
      <w:r>
        <w:rPr/>
        <w:t>’coined the term “gel filtration” for this chromatography technique separating the analytes based on molecular sizes. Since then the chromatography technique evolved in terms of developed of different sizes beads to separate protein of narrow range, as well as performing the technique in aqueous and non-aqueous mobile phase. The beads used in gel filtration chromatography is made up of cross linked material (such as dextran in sephadex) to form a 3-D mesh. These 3-D mesh swell in the mobile phase to develop pores of different sizes (Figure 32.1). The extent of cross linking controls the pores size within the gel beads.</w:t>
      </w:r>
    </w:p>
    <w:p>
      <w:pPr>
        <w:pStyle w:val="BodyText"/>
        <w:spacing w:before="6"/>
        <w:rPr>
          <w:sz w:val="14"/>
        </w:rPr>
      </w:pPr>
      <w:r>
        <w:rPr/>
        <w:drawing>
          <wp:anchor distT="0" distB="0" distL="0" distR="0" allowOverlap="1" layoutInCell="1" locked="0" behindDoc="0" simplePos="0" relativeHeight="322">
            <wp:simplePos x="0" y="0"/>
            <wp:positionH relativeFrom="page">
              <wp:posOffset>1161313</wp:posOffset>
            </wp:positionH>
            <wp:positionV relativeFrom="paragraph">
              <wp:posOffset>131041</wp:posOffset>
            </wp:positionV>
            <wp:extent cx="5253871" cy="2072639"/>
            <wp:effectExtent l="0" t="0" r="0" b="0"/>
            <wp:wrapTopAndBottom/>
            <wp:docPr id="339" name="image174.png"/>
            <wp:cNvGraphicFramePr>
              <a:graphicFrameLocks noChangeAspect="1"/>
            </wp:cNvGraphicFramePr>
            <a:graphic>
              <a:graphicData uri="http://schemas.openxmlformats.org/drawingml/2006/picture">
                <pic:pic>
                  <pic:nvPicPr>
                    <pic:cNvPr id="340" name="image174.png"/>
                    <pic:cNvPicPr/>
                  </pic:nvPicPr>
                  <pic:blipFill>
                    <a:blip r:embed="rId188" cstate="print"/>
                    <a:stretch>
                      <a:fillRect/>
                    </a:stretch>
                  </pic:blipFill>
                  <pic:spPr>
                    <a:xfrm>
                      <a:off x="0" y="0"/>
                      <a:ext cx="5253871" cy="2072639"/>
                    </a:xfrm>
                    <a:prstGeom prst="rect">
                      <a:avLst/>
                    </a:prstGeom>
                  </pic:spPr>
                </pic:pic>
              </a:graphicData>
            </a:graphic>
          </wp:anchor>
        </w:drawing>
      </w:r>
    </w:p>
    <w:p>
      <w:pPr>
        <w:pStyle w:val="BodyText"/>
        <w:spacing w:before="9"/>
        <w:rPr>
          <w:sz w:val="27"/>
        </w:rPr>
      </w:pPr>
    </w:p>
    <w:p>
      <w:pPr>
        <w:spacing w:before="1"/>
        <w:ind w:left="601" w:right="617" w:firstLine="0"/>
        <w:jc w:val="center"/>
        <w:rPr>
          <w:b/>
          <w:sz w:val="16"/>
        </w:rPr>
      </w:pPr>
      <w:r>
        <w:rPr>
          <w:b/>
          <w:sz w:val="16"/>
        </w:rPr>
        <w:t>Figure 32.1: Gel Filtration Matrix has Beads with different pore sizes.</w:t>
      </w:r>
    </w:p>
    <w:p>
      <w:pPr>
        <w:spacing w:after="0"/>
        <w:jc w:val="center"/>
        <w:rPr>
          <w:sz w:val="16"/>
        </w:rPr>
        <w:sectPr>
          <w:pgSz w:w="11910" w:h="16840"/>
          <w:pgMar w:header="722" w:footer="748" w:top="1300" w:bottom="940" w:left="1500" w:right="1480"/>
        </w:sectPr>
      </w:pPr>
    </w:p>
    <w:p>
      <w:pPr>
        <w:pStyle w:val="BodyText"/>
        <w:spacing w:before="119"/>
        <w:ind w:left="300"/>
        <w:jc w:val="both"/>
      </w:pPr>
      <w:r>
        <w:rPr>
          <w:b/>
        </w:rPr>
        <w:t>Principle: </w:t>
      </w:r>
      <w:r>
        <w:rPr/>
        <w:t>The principle of the chromatography technique is illustrated in Figure</w:t>
      </w:r>
    </w:p>
    <w:p>
      <w:pPr>
        <w:pStyle w:val="BodyText"/>
        <w:spacing w:line="360" w:lineRule="auto" w:before="137"/>
        <w:ind w:left="300" w:right="315"/>
        <w:jc w:val="both"/>
      </w:pPr>
      <w:r>
        <w:rPr/>
        <w:t>32.2. The column is packed with the beads containing pores to allow entry of molecules based on their sizes. Smallest size in the inner part of pore followed by gradual increasing size and largest molecule excluded from entering into the gel. The separation between molecules occur due to the time they travel to come out from the pores. When the mobile phase pass through the column, it takes protein along with it. The small molecules present in the inner part of the gel takes longer flow of liquid (or time) and travel longer path to come out where as larger molecules travel less distance to come out. As a result, the large molecule and small molecule get separated from each other. A schematic gel filtration chromatogram is given in Figure 32.3.</w:t>
      </w:r>
    </w:p>
    <w:p>
      <w:pPr>
        <w:pStyle w:val="BodyText"/>
        <w:spacing w:before="8"/>
        <w:rPr>
          <w:sz w:val="14"/>
        </w:rPr>
      </w:pPr>
      <w:r>
        <w:rPr/>
        <w:drawing>
          <wp:anchor distT="0" distB="0" distL="0" distR="0" allowOverlap="1" layoutInCell="1" locked="0" behindDoc="0" simplePos="0" relativeHeight="323">
            <wp:simplePos x="0" y="0"/>
            <wp:positionH relativeFrom="page">
              <wp:posOffset>1143648</wp:posOffset>
            </wp:positionH>
            <wp:positionV relativeFrom="paragraph">
              <wp:posOffset>132239</wp:posOffset>
            </wp:positionV>
            <wp:extent cx="5259275" cy="2359152"/>
            <wp:effectExtent l="0" t="0" r="0" b="0"/>
            <wp:wrapTopAndBottom/>
            <wp:docPr id="341" name="image175.png"/>
            <wp:cNvGraphicFramePr>
              <a:graphicFrameLocks noChangeAspect="1"/>
            </wp:cNvGraphicFramePr>
            <a:graphic>
              <a:graphicData uri="http://schemas.openxmlformats.org/drawingml/2006/picture">
                <pic:pic>
                  <pic:nvPicPr>
                    <pic:cNvPr id="342" name="image175.png"/>
                    <pic:cNvPicPr/>
                  </pic:nvPicPr>
                  <pic:blipFill>
                    <a:blip r:embed="rId189" cstate="print"/>
                    <a:stretch>
                      <a:fillRect/>
                    </a:stretch>
                  </pic:blipFill>
                  <pic:spPr>
                    <a:xfrm>
                      <a:off x="0" y="0"/>
                      <a:ext cx="5259275" cy="2359152"/>
                    </a:xfrm>
                    <a:prstGeom prst="rect">
                      <a:avLst/>
                    </a:prstGeom>
                  </pic:spPr>
                </pic:pic>
              </a:graphicData>
            </a:graphic>
          </wp:anchor>
        </w:drawing>
      </w:r>
    </w:p>
    <w:p>
      <w:pPr>
        <w:pStyle w:val="BodyText"/>
        <w:spacing w:before="8"/>
        <w:rPr>
          <w:sz w:val="27"/>
        </w:rPr>
      </w:pPr>
    </w:p>
    <w:p>
      <w:pPr>
        <w:spacing w:before="1"/>
        <w:ind w:left="598" w:right="617" w:firstLine="0"/>
        <w:jc w:val="center"/>
        <w:rPr>
          <w:b/>
          <w:sz w:val="16"/>
        </w:rPr>
      </w:pPr>
      <w:r>
        <w:rPr>
          <w:b/>
          <w:sz w:val="16"/>
        </w:rPr>
        <w:t>Figure 32.2: Principle of Gel Filtration Chromatography.</w:t>
      </w:r>
    </w:p>
    <w:p>
      <w:pPr>
        <w:pStyle w:val="BodyText"/>
        <w:rPr>
          <w:b/>
          <w:sz w:val="18"/>
        </w:rPr>
      </w:pPr>
    </w:p>
    <w:p>
      <w:pPr>
        <w:pStyle w:val="BodyText"/>
        <w:spacing w:before="8"/>
        <w:rPr>
          <w:b/>
          <w:sz w:val="18"/>
        </w:rPr>
      </w:pPr>
    </w:p>
    <w:p>
      <w:pPr>
        <w:pStyle w:val="BodyText"/>
        <w:spacing w:before="1"/>
        <w:ind w:left="300"/>
        <w:jc w:val="both"/>
      </w:pPr>
      <w:r>
        <w:rPr/>
        <w:t>Suppose the total column volume of a gel is V</w:t>
      </w:r>
      <w:r>
        <w:rPr>
          <w:vertAlign w:val="subscript"/>
        </w:rPr>
        <w:t>t</w:t>
      </w:r>
      <w:r>
        <w:rPr>
          <w:vertAlign w:val="baseline"/>
        </w:rPr>
        <w:t> and then it is given by-</w:t>
      </w:r>
    </w:p>
    <w:p>
      <w:pPr>
        <w:pStyle w:val="Heading4"/>
        <w:tabs>
          <w:tab w:pos="6825" w:val="left" w:leader="dot"/>
        </w:tabs>
        <w:spacing w:before="244"/>
        <w:ind w:left="1144"/>
      </w:pPr>
      <w:r>
        <w:rPr/>
        <w:t>V</w:t>
      </w:r>
      <w:r>
        <w:rPr>
          <w:vertAlign w:val="subscript"/>
        </w:rPr>
        <w:t>t</w:t>
      </w:r>
      <w:r>
        <w:rPr>
          <w:vertAlign w:val="baseline"/>
        </w:rPr>
        <w:t>=V</w:t>
      </w:r>
      <w:r>
        <w:rPr>
          <w:vertAlign w:val="subscript"/>
        </w:rPr>
        <w:t>g</w:t>
      </w:r>
      <w:r>
        <w:rPr>
          <w:vertAlign w:val="baseline"/>
        </w:rPr>
        <w:t>+V</w:t>
      </w:r>
      <w:r>
        <w:rPr>
          <w:vertAlign w:val="subscript"/>
        </w:rPr>
        <w:t>i</w:t>
      </w:r>
      <w:r>
        <w:rPr>
          <w:vertAlign w:val="baseline"/>
        </w:rPr>
        <w:t>+V</w:t>
      </w:r>
      <w:r>
        <w:rPr>
          <w:vertAlign w:val="subscript"/>
        </w:rPr>
        <w:t>o</w:t>
      </w:r>
      <w:r>
        <w:rPr>
          <w:position w:val="-2"/>
          <w:vertAlign w:val="baseline"/>
        </w:rPr>
        <w:tab/>
      </w:r>
      <w:r>
        <w:rPr>
          <w:vertAlign w:val="baseline"/>
        </w:rPr>
        <w:t>Eq</w:t>
      </w:r>
      <w:r>
        <w:rPr>
          <w:spacing w:val="-1"/>
          <w:vertAlign w:val="baseline"/>
        </w:rPr>
        <w:t> </w:t>
      </w:r>
      <w:r>
        <w:rPr>
          <w:vertAlign w:val="baseline"/>
        </w:rPr>
        <w:t>(32.1)</w:t>
      </w:r>
    </w:p>
    <w:p>
      <w:pPr>
        <w:pStyle w:val="BodyText"/>
        <w:spacing w:line="360" w:lineRule="auto" w:before="238"/>
        <w:ind w:left="300" w:right="314"/>
        <w:jc w:val="both"/>
      </w:pPr>
      <w:r>
        <w:rPr/>
        <w:t>V</w:t>
      </w:r>
      <w:r>
        <w:rPr>
          <w:vertAlign w:val="subscript"/>
        </w:rPr>
        <w:t>g</w:t>
      </w:r>
      <w:r>
        <w:rPr>
          <w:vertAlign w:val="baseline"/>
        </w:rPr>
        <w:t> is the volume of gel matrix, V</w:t>
      </w:r>
      <w:r>
        <w:rPr>
          <w:vertAlign w:val="subscript"/>
        </w:rPr>
        <w:t>i</w:t>
      </w:r>
      <w:r>
        <w:rPr>
          <w:vertAlign w:val="baseline"/>
        </w:rPr>
        <w:t> is the pore volume and V</w:t>
      </w:r>
      <w:r>
        <w:rPr>
          <w:vertAlign w:val="subscript"/>
        </w:rPr>
        <w:t>o</w:t>
      </w:r>
      <w:r>
        <w:rPr>
          <w:vertAlign w:val="baseline"/>
        </w:rPr>
        <w:t> is the void volume. The volume of mobile phase flow to elute a column from a column is known as elution volume (V</w:t>
      </w:r>
      <w:r>
        <w:rPr>
          <w:vertAlign w:val="subscript"/>
        </w:rPr>
        <w:t>e</w:t>
      </w:r>
      <w:r>
        <w:rPr>
          <w:vertAlign w:val="baseline"/>
        </w:rPr>
        <w:t>). The elution volum is related to the void volume and the distribution coefficient Kd as given below</w:t>
      </w:r>
    </w:p>
    <w:p>
      <w:pPr>
        <w:pStyle w:val="Heading4"/>
        <w:tabs>
          <w:tab w:pos="6830" w:val="left" w:leader="dot"/>
        </w:tabs>
        <w:spacing w:before="204"/>
        <w:ind w:left="1140"/>
      </w:pPr>
      <w:r>
        <w:rPr/>
        <w:t>V</w:t>
      </w:r>
      <w:r>
        <w:rPr>
          <w:vertAlign w:val="subscript"/>
        </w:rPr>
        <w:t>e</w:t>
      </w:r>
      <w:r>
        <w:rPr>
          <w:vertAlign w:val="baseline"/>
        </w:rPr>
        <w:t>=V</w:t>
      </w:r>
      <w:r>
        <w:rPr>
          <w:vertAlign w:val="subscript"/>
        </w:rPr>
        <w:t>o</w:t>
      </w:r>
      <w:r>
        <w:rPr>
          <w:vertAlign w:val="baseline"/>
        </w:rPr>
        <w:t>+KdV</w:t>
      </w:r>
      <w:r>
        <w:rPr>
          <w:vertAlign w:val="subscript"/>
        </w:rPr>
        <w:t>i</w:t>
      </w:r>
      <w:r>
        <w:rPr>
          <w:position w:val="-2"/>
          <w:vertAlign w:val="baseline"/>
        </w:rPr>
        <w:tab/>
      </w:r>
      <w:r>
        <w:rPr>
          <w:vertAlign w:val="baseline"/>
        </w:rPr>
        <w:t>Eq</w:t>
      </w:r>
      <w:r>
        <w:rPr>
          <w:spacing w:val="-1"/>
          <w:vertAlign w:val="baseline"/>
        </w:rPr>
        <w:t> </w:t>
      </w:r>
      <w:r>
        <w:rPr>
          <w:vertAlign w:val="baseline"/>
        </w:rPr>
        <w:t>(32.2)</w:t>
      </w:r>
    </w:p>
    <w:p>
      <w:pPr>
        <w:pStyle w:val="BodyText"/>
        <w:spacing w:before="8"/>
        <w:rPr>
          <w:b/>
          <w:sz w:val="26"/>
        </w:rPr>
      </w:pPr>
    </w:p>
    <w:p>
      <w:pPr>
        <w:tabs>
          <w:tab w:pos="6743" w:val="left" w:leader="dot"/>
        </w:tabs>
        <w:spacing w:line="243" w:lineRule="exact" w:before="0"/>
        <w:ind w:left="1228" w:right="0" w:firstLine="0"/>
        <w:jc w:val="both"/>
        <w:rPr>
          <w:b/>
          <w:sz w:val="24"/>
        </w:rPr>
      </w:pPr>
      <w:r>
        <w:rPr/>
        <w:pict>
          <v:rect style="position:absolute;margin-left:172.440002pt;margin-top:7.362124pt;width:26.76pt;height:.841pt;mso-position-horizontal-relative:page;mso-position-vertical-relative:paragraph;z-index:-18373120" filled="true" fillcolor="#000000" stroked="false">
            <v:fill type="solid"/>
            <w10:wrap type="none"/>
          </v:rect>
        </w:pict>
      </w:r>
      <w:r>
        <w:rPr>
          <w:rFonts w:ascii="Symbola" w:hAnsi="Symbola" w:eastAsia="Symbola"/>
          <w:sz w:val="24"/>
        </w:rPr>
        <w:t>𝐊𝐝</w:t>
      </w:r>
      <w:r>
        <w:rPr>
          <w:rFonts w:ascii="Symbola" w:hAnsi="Symbola" w:eastAsia="Symbola"/>
          <w:spacing w:val="6"/>
          <w:sz w:val="24"/>
        </w:rPr>
        <w:t> </w:t>
      </w:r>
      <w:r>
        <w:rPr>
          <w:rFonts w:ascii="Symbola" w:hAnsi="Symbola" w:eastAsia="Symbola"/>
          <w:sz w:val="24"/>
        </w:rPr>
        <w:t>= </w:t>
      </w:r>
      <w:r>
        <w:rPr>
          <w:rFonts w:ascii="Symbola" w:hAnsi="Symbola" w:eastAsia="Symbola"/>
          <w:spacing w:val="40"/>
          <w:sz w:val="24"/>
        </w:rPr>
        <w:t> </w:t>
      </w:r>
      <w:r>
        <w:rPr>
          <w:rFonts w:ascii="Symbola" w:hAnsi="Symbola" w:eastAsia="Symbola"/>
          <w:sz w:val="24"/>
          <w:vertAlign w:val="superscript"/>
        </w:rPr>
        <w:t>𝑽𝒆−𝑽𝒐</w:t>
      </w:r>
      <w:r>
        <w:rPr>
          <w:rFonts w:ascii="Symbola" w:hAnsi="Symbola" w:eastAsia="Symbola"/>
          <w:position w:val="14"/>
          <w:sz w:val="24"/>
          <w:vertAlign w:val="baseline"/>
        </w:rPr>
        <w:tab/>
      </w:r>
      <w:r>
        <w:rPr>
          <w:b/>
          <w:sz w:val="24"/>
          <w:vertAlign w:val="baseline"/>
        </w:rPr>
        <w:t>Eq (32.3)</w:t>
      </w:r>
    </w:p>
    <w:p>
      <w:pPr>
        <w:spacing w:line="137" w:lineRule="exact" w:before="0"/>
        <w:ind w:left="2128" w:right="0" w:firstLine="0"/>
        <w:jc w:val="left"/>
        <w:rPr>
          <w:rFonts w:ascii="Symbola" w:eastAsia="Symbola"/>
          <w:sz w:val="17"/>
        </w:rPr>
      </w:pPr>
      <w:r>
        <w:rPr>
          <w:rFonts w:ascii="Symbola" w:eastAsia="Symbola"/>
          <w:sz w:val="17"/>
        </w:rPr>
        <w:t>𝑽𝒊</w:t>
      </w:r>
    </w:p>
    <w:p>
      <w:pPr>
        <w:spacing w:after="0" w:line="137" w:lineRule="exact"/>
        <w:jc w:val="left"/>
        <w:rPr>
          <w:rFonts w:ascii="Symbola" w:eastAsia="Symbola"/>
          <w:sz w:val="17"/>
        </w:rPr>
        <w:sectPr>
          <w:pgSz w:w="11910" w:h="16840"/>
          <w:pgMar w:header="722" w:footer="748" w:top="1300" w:bottom="940" w:left="1500" w:right="1480"/>
        </w:sectPr>
      </w:pPr>
    </w:p>
    <w:p>
      <w:pPr>
        <w:pStyle w:val="BodyText"/>
        <w:spacing w:line="276" w:lineRule="auto" w:before="119"/>
        <w:ind w:left="300" w:right="317"/>
        <w:jc w:val="both"/>
      </w:pPr>
      <w:r>
        <w:rPr/>
        <w:t>Kd is the ratio of inner volume available for an analyte and it is independent to the column geometry or length. As per relationship given in Eq 32.3, three different type of analytes are possible:</w:t>
      </w:r>
    </w:p>
    <w:p>
      <w:pPr>
        <w:pStyle w:val="ListParagraph"/>
        <w:numPr>
          <w:ilvl w:val="0"/>
          <w:numId w:val="37"/>
        </w:numPr>
        <w:tabs>
          <w:tab w:pos="569" w:val="left" w:leader="none"/>
        </w:tabs>
        <w:spacing w:line="276" w:lineRule="auto" w:before="200" w:after="0"/>
        <w:ind w:left="300" w:right="316" w:firstLine="0"/>
        <w:jc w:val="both"/>
        <w:rPr>
          <w:sz w:val="24"/>
        </w:rPr>
      </w:pPr>
      <w:r>
        <w:rPr>
          <w:sz w:val="24"/>
        </w:rPr>
        <w:t>Analyte with </w:t>
      </w:r>
      <w:r>
        <w:rPr>
          <w:b/>
          <w:sz w:val="24"/>
        </w:rPr>
        <w:t>Kd=0</w:t>
      </w:r>
      <w:r>
        <w:rPr>
          <w:sz w:val="24"/>
        </w:rPr>
        <w:t>, or Ve=Vo, these analytes will be completely excluded from the</w:t>
      </w:r>
      <w:r>
        <w:rPr>
          <w:spacing w:val="-1"/>
          <w:sz w:val="24"/>
        </w:rPr>
        <w:t> </w:t>
      </w:r>
      <w:r>
        <w:rPr>
          <w:sz w:val="24"/>
        </w:rPr>
        <w:t>column.</w:t>
      </w:r>
    </w:p>
    <w:p>
      <w:pPr>
        <w:pStyle w:val="ListParagraph"/>
        <w:numPr>
          <w:ilvl w:val="0"/>
          <w:numId w:val="37"/>
        </w:numPr>
        <w:tabs>
          <w:tab w:pos="550" w:val="left" w:leader="none"/>
        </w:tabs>
        <w:spacing w:line="276" w:lineRule="auto" w:before="201" w:after="0"/>
        <w:ind w:left="299" w:right="321" w:firstLine="0"/>
        <w:jc w:val="both"/>
        <w:rPr>
          <w:sz w:val="24"/>
        </w:rPr>
      </w:pPr>
      <w:r>
        <w:rPr>
          <w:sz w:val="24"/>
        </w:rPr>
        <w:t>Analyte with </w:t>
      </w:r>
      <w:r>
        <w:rPr>
          <w:b/>
          <w:sz w:val="24"/>
        </w:rPr>
        <w:t>Kd=1 </w:t>
      </w:r>
      <w:r>
        <w:rPr>
          <w:sz w:val="24"/>
        </w:rPr>
        <w:t>or Ve=Vo+Vi, these analytes will be completely in the pore of the</w:t>
      </w:r>
      <w:r>
        <w:rPr>
          <w:spacing w:val="-1"/>
          <w:sz w:val="24"/>
        </w:rPr>
        <w:t> </w:t>
      </w:r>
      <w:r>
        <w:rPr>
          <w:sz w:val="24"/>
        </w:rPr>
        <w:t>column.</w:t>
      </w:r>
    </w:p>
    <w:p>
      <w:pPr>
        <w:pStyle w:val="ListParagraph"/>
        <w:numPr>
          <w:ilvl w:val="0"/>
          <w:numId w:val="37"/>
        </w:numPr>
        <w:tabs>
          <w:tab w:pos="540" w:val="left" w:leader="none"/>
        </w:tabs>
        <w:spacing w:line="240" w:lineRule="auto" w:before="200" w:after="0"/>
        <w:ind w:left="540" w:right="0" w:hanging="241"/>
        <w:jc w:val="both"/>
        <w:rPr>
          <w:sz w:val="24"/>
        </w:rPr>
      </w:pPr>
      <w:r>
        <w:rPr>
          <w:sz w:val="24"/>
        </w:rPr>
        <w:t>Analyte with </w:t>
      </w:r>
      <w:r>
        <w:rPr>
          <w:b/>
          <w:sz w:val="24"/>
        </w:rPr>
        <w:t>Kd&gt;1</w:t>
      </w:r>
      <w:r>
        <w:rPr>
          <w:sz w:val="24"/>
        </w:rPr>
        <w:t>, in this situation analyte will adsorb to the column</w:t>
      </w:r>
      <w:r>
        <w:rPr>
          <w:spacing w:val="-9"/>
          <w:sz w:val="24"/>
        </w:rPr>
        <w:t> </w:t>
      </w:r>
      <w:r>
        <w:rPr>
          <w:sz w:val="24"/>
        </w:rPr>
        <w:t>matrix.</w:t>
      </w:r>
    </w:p>
    <w:p>
      <w:pPr>
        <w:pStyle w:val="BodyText"/>
        <w:rPr>
          <w:sz w:val="20"/>
        </w:rPr>
      </w:pPr>
    </w:p>
    <w:p>
      <w:pPr>
        <w:pStyle w:val="BodyText"/>
        <w:rPr>
          <w:sz w:val="20"/>
        </w:rPr>
      </w:pPr>
    </w:p>
    <w:p>
      <w:pPr>
        <w:pStyle w:val="BodyText"/>
        <w:spacing w:before="1"/>
        <w:rPr>
          <w:sz w:val="23"/>
        </w:rPr>
      </w:pPr>
      <w:r>
        <w:rPr/>
        <w:drawing>
          <wp:anchor distT="0" distB="0" distL="0" distR="0" allowOverlap="1" layoutInCell="1" locked="0" behindDoc="0" simplePos="0" relativeHeight="325">
            <wp:simplePos x="0" y="0"/>
            <wp:positionH relativeFrom="page">
              <wp:posOffset>1143628</wp:posOffset>
            </wp:positionH>
            <wp:positionV relativeFrom="paragraph">
              <wp:posOffset>193625</wp:posOffset>
            </wp:positionV>
            <wp:extent cx="5037098" cy="2346960"/>
            <wp:effectExtent l="0" t="0" r="0" b="0"/>
            <wp:wrapTopAndBottom/>
            <wp:docPr id="343" name="image176.png"/>
            <wp:cNvGraphicFramePr>
              <a:graphicFrameLocks noChangeAspect="1"/>
            </wp:cNvGraphicFramePr>
            <a:graphic>
              <a:graphicData uri="http://schemas.openxmlformats.org/drawingml/2006/picture">
                <pic:pic>
                  <pic:nvPicPr>
                    <pic:cNvPr id="344" name="image176.png"/>
                    <pic:cNvPicPr/>
                  </pic:nvPicPr>
                  <pic:blipFill>
                    <a:blip r:embed="rId190" cstate="print"/>
                    <a:stretch>
                      <a:fillRect/>
                    </a:stretch>
                  </pic:blipFill>
                  <pic:spPr>
                    <a:xfrm>
                      <a:off x="0" y="0"/>
                      <a:ext cx="5037098" cy="2346960"/>
                    </a:xfrm>
                    <a:prstGeom prst="rect">
                      <a:avLst/>
                    </a:prstGeom>
                  </pic:spPr>
                </pic:pic>
              </a:graphicData>
            </a:graphic>
          </wp:anchor>
        </w:drawing>
      </w:r>
    </w:p>
    <w:p>
      <w:pPr>
        <w:pStyle w:val="BodyText"/>
        <w:spacing w:before="3"/>
        <w:rPr>
          <w:sz w:val="28"/>
        </w:rPr>
      </w:pPr>
    </w:p>
    <w:p>
      <w:pPr>
        <w:spacing w:before="0"/>
        <w:ind w:left="596" w:right="617" w:firstLine="0"/>
        <w:jc w:val="center"/>
        <w:rPr>
          <w:b/>
          <w:sz w:val="16"/>
        </w:rPr>
      </w:pPr>
      <w:r>
        <w:rPr>
          <w:b/>
          <w:sz w:val="16"/>
        </w:rPr>
        <w:t>Figure 32.3: A typical Gel Filtration Chromatogram.</w:t>
      </w:r>
    </w:p>
    <w:p>
      <w:pPr>
        <w:pStyle w:val="BodyText"/>
        <w:rPr>
          <w:b/>
          <w:sz w:val="18"/>
        </w:rPr>
      </w:pPr>
    </w:p>
    <w:p>
      <w:pPr>
        <w:pStyle w:val="BodyText"/>
        <w:spacing w:before="6"/>
        <w:rPr>
          <w:b/>
          <w:sz w:val="18"/>
        </w:rPr>
      </w:pPr>
    </w:p>
    <w:p>
      <w:pPr>
        <w:pStyle w:val="BodyText"/>
        <w:spacing w:line="360" w:lineRule="auto" w:before="1"/>
        <w:ind w:left="300" w:right="316"/>
        <w:jc w:val="both"/>
      </w:pPr>
      <w:r>
        <w:rPr>
          <w:b/>
        </w:rPr>
        <w:t>Choice of matrix for gel filtration chromatography-</w:t>
      </w:r>
      <w:r>
        <w:rPr/>
        <w:t>The choice of the column depends on the range of molecular weight and the pressure limit of the operating equipment. A list of popular gel filtration column matrix with the fractionation range are given in Table 32.1.</w:t>
      </w:r>
    </w:p>
    <w:p>
      <w:pPr>
        <w:pStyle w:val="Heading4"/>
        <w:spacing w:before="206"/>
      </w:pPr>
      <w:r>
        <w:rPr/>
        <w:t>Operation of the chromatography-</w:t>
      </w:r>
    </w:p>
    <w:p>
      <w:pPr>
        <w:pStyle w:val="BodyText"/>
        <w:spacing w:before="5"/>
        <w:rPr>
          <w:b/>
          <w:sz w:val="20"/>
        </w:rPr>
      </w:pPr>
    </w:p>
    <w:p>
      <w:pPr>
        <w:pStyle w:val="ListParagraph"/>
        <w:numPr>
          <w:ilvl w:val="0"/>
          <w:numId w:val="38"/>
        </w:numPr>
        <w:tabs>
          <w:tab w:pos="540" w:val="left" w:leader="none"/>
        </w:tabs>
        <w:spacing w:line="360" w:lineRule="auto" w:before="0" w:after="0"/>
        <w:ind w:left="300" w:right="315" w:firstLine="0"/>
        <w:jc w:val="both"/>
        <w:rPr>
          <w:sz w:val="24"/>
        </w:rPr>
      </w:pPr>
      <w:r>
        <w:rPr>
          <w:b/>
          <w:sz w:val="24"/>
        </w:rPr>
        <w:t>Column packing-</w:t>
      </w:r>
      <w:r>
        <w:rPr>
          <w:sz w:val="24"/>
        </w:rPr>
        <w:t>The column material is allowed to swell in the mobile phase. It is poured into the glass tube and allow the beads to settle without trapping air bubble within the column. Once the matrix is settled to give a column, it can be tested for presence of air channel and well packing by flowing a analyte with Kd=1, it is expected that the elution volume (Ve) in this case should be</w:t>
      </w:r>
      <w:r>
        <w:rPr>
          <w:spacing w:val="-7"/>
          <w:sz w:val="24"/>
        </w:rPr>
        <w:t> </w:t>
      </w:r>
      <w:r>
        <w:rPr>
          <w:sz w:val="24"/>
        </w:rPr>
        <w:t>V</w:t>
      </w:r>
      <w:r>
        <w:rPr>
          <w:sz w:val="24"/>
          <w:vertAlign w:val="subscript"/>
        </w:rPr>
        <w:t>o</w:t>
      </w:r>
      <w:r>
        <w:rPr>
          <w:sz w:val="24"/>
          <w:vertAlign w:val="baseline"/>
        </w:rPr>
        <w:t>+V</w:t>
      </w:r>
      <w:r>
        <w:rPr>
          <w:sz w:val="24"/>
          <w:vertAlign w:val="subscript"/>
        </w:rPr>
        <w:t>i</w:t>
      </w:r>
      <w:r>
        <w:rPr>
          <w:sz w:val="24"/>
          <w:vertAlign w:val="baseline"/>
        </w:rPr>
        <w:t>.</w:t>
      </w:r>
    </w:p>
    <w:p>
      <w:pPr>
        <w:spacing w:after="0" w:line="360" w:lineRule="auto"/>
        <w:jc w:val="both"/>
        <w:rPr>
          <w:sz w:val="24"/>
        </w:rPr>
        <w:sectPr>
          <w:pgSz w:w="11910" w:h="16840"/>
          <w:pgMar w:header="722" w:footer="748" w:top="1300" w:bottom="940" w:left="1500" w:right="1480"/>
        </w:sectPr>
      </w:pPr>
    </w:p>
    <w:p>
      <w:pPr>
        <w:pStyle w:val="ListParagraph"/>
        <w:numPr>
          <w:ilvl w:val="0"/>
          <w:numId w:val="38"/>
        </w:numPr>
        <w:tabs>
          <w:tab w:pos="548" w:val="left" w:leader="none"/>
        </w:tabs>
        <w:spacing w:line="360" w:lineRule="auto" w:before="119" w:after="0"/>
        <w:ind w:left="300" w:right="317" w:firstLine="0"/>
        <w:jc w:val="both"/>
        <w:rPr>
          <w:sz w:val="24"/>
        </w:rPr>
      </w:pPr>
      <w:r>
        <w:rPr>
          <w:b/>
          <w:sz w:val="24"/>
        </w:rPr>
        <w:t>Sample Preparation- </w:t>
      </w:r>
      <w:r>
        <w:rPr>
          <w:sz w:val="24"/>
        </w:rPr>
        <w:t>The sample is prepared in the mobile phase and it should be free of suspended particle to avoid clogging of the column. The most recommended method to apply the sample is to inject the sample with a</w:t>
      </w:r>
      <w:r>
        <w:rPr>
          <w:spacing w:val="-12"/>
          <w:sz w:val="24"/>
        </w:rPr>
        <w:t> </w:t>
      </w:r>
      <w:r>
        <w:rPr>
          <w:sz w:val="24"/>
        </w:rPr>
        <w:t>syringe.</w:t>
      </w:r>
    </w:p>
    <w:p>
      <w:pPr>
        <w:pStyle w:val="ListParagraph"/>
        <w:numPr>
          <w:ilvl w:val="0"/>
          <w:numId w:val="38"/>
        </w:numPr>
        <w:tabs>
          <w:tab w:pos="574" w:val="left" w:leader="none"/>
        </w:tabs>
        <w:spacing w:line="360" w:lineRule="auto" w:before="201" w:after="0"/>
        <w:ind w:left="300" w:right="317" w:firstLine="0"/>
        <w:jc w:val="both"/>
        <w:rPr>
          <w:sz w:val="24"/>
        </w:rPr>
      </w:pPr>
      <w:r>
        <w:rPr>
          <w:b/>
          <w:sz w:val="24"/>
        </w:rPr>
        <w:t>Elution- </w:t>
      </w:r>
      <w:r>
        <w:rPr>
          <w:spacing w:val="-3"/>
          <w:sz w:val="24"/>
        </w:rPr>
        <w:t>In </w:t>
      </w:r>
      <w:r>
        <w:rPr>
          <w:sz w:val="24"/>
        </w:rPr>
        <w:t>gel filtration column, no gradient of salt is used to elute the sample from the column. The flow of mobile phase is used to elute the molecules from the column.</w:t>
      </w:r>
    </w:p>
    <w:p>
      <w:pPr>
        <w:pStyle w:val="ListParagraph"/>
        <w:numPr>
          <w:ilvl w:val="0"/>
          <w:numId w:val="38"/>
        </w:numPr>
        <w:tabs>
          <w:tab w:pos="600" w:val="left" w:leader="none"/>
        </w:tabs>
        <w:spacing w:line="360" w:lineRule="auto" w:before="200" w:after="0"/>
        <w:ind w:left="300" w:right="316" w:firstLine="0"/>
        <w:jc w:val="both"/>
        <w:rPr>
          <w:sz w:val="24"/>
        </w:rPr>
      </w:pPr>
      <w:r>
        <w:rPr>
          <w:b/>
          <w:sz w:val="24"/>
        </w:rPr>
        <w:t>Column Regeneration- </w:t>
      </w:r>
      <w:r>
        <w:rPr>
          <w:sz w:val="24"/>
        </w:rPr>
        <w:t>After the analysis of analyte, gel filtration column is washed with the salt containing mobile phase to remove all non-specifically adsorb protein to the matrix. The column is then equiliberated with mobile phase to regenerate the column. The column can be store at 4</w:t>
      </w:r>
      <w:r>
        <w:rPr>
          <w:sz w:val="24"/>
          <w:vertAlign w:val="superscript"/>
        </w:rPr>
        <w:t>0</w:t>
      </w:r>
      <w:r>
        <w:rPr>
          <w:sz w:val="24"/>
          <w:vertAlign w:val="baseline"/>
        </w:rPr>
        <w:t>C in the presence of 20% alchol containing 0.05% sodium</w:t>
      </w:r>
      <w:r>
        <w:rPr>
          <w:spacing w:val="-5"/>
          <w:sz w:val="24"/>
          <w:vertAlign w:val="baseline"/>
        </w:rPr>
        <w:t> </w:t>
      </w:r>
      <w:r>
        <w:rPr>
          <w:sz w:val="24"/>
          <w:vertAlign w:val="baseline"/>
        </w:rPr>
        <w:t>azide.</w:t>
      </w:r>
    </w:p>
    <w:p>
      <w:pPr>
        <w:pStyle w:val="BodyText"/>
        <w:spacing w:before="9"/>
        <w:rPr>
          <w:sz w:val="17"/>
        </w:rPr>
      </w:pPr>
    </w:p>
    <w:tbl>
      <w:tblPr>
        <w:tblW w:w="0" w:type="auto"/>
        <w:jc w:val="left"/>
        <w:tblInd w:w="6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953"/>
        <w:gridCol w:w="2741"/>
        <w:gridCol w:w="3982"/>
      </w:tblGrid>
      <w:tr>
        <w:trPr>
          <w:trHeight w:val="424" w:hRule="atLeast"/>
        </w:trPr>
        <w:tc>
          <w:tcPr>
            <w:tcW w:w="7676" w:type="dxa"/>
            <w:gridSpan w:val="3"/>
            <w:tcBorders>
              <w:top w:val="single" w:sz="4" w:space="0" w:color="000000"/>
              <w:bottom w:val="single" w:sz="4" w:space="0" w:color="000000"/>
            </w:tcBorders>
          </w:tcPr>
          <w:p>
            <w:pPr>
              <w:pStyle w:val="TableParagraph"/>
              <w:spacing w:line="240" w:lineRule="auto" w:before="119"/>
              <w:ind w:left="2212" w:right="2205"/>
              <w:jc w:val="center"/>
              <w:rPr>
                <w:b/>
                <w:sz w:val="16"/>
              </w:rPr>
            </w:pPr>
            <w:r>
              <w:rPr>
                <w:b/>
                <w:sz w:val="16"/>
              </w:rPr>
              <w:t>Table 32.1: List of popular gel filtration matrix</w:t>
            </w:r>
          </w:p>
        </w:tc>
      </w:tr>
      <w:tr>
        <w:trPr>
          <w:trHeight w:val="518" w:hRule="atLeast"/>
        </w:trPr>
        <w:tc>
          <w:tcPr>
            <w:tcW w:w="953" w:type="dxa"/>
            <w:tcBorders>
              <w:top w:val="single" w:sz="4" w:space="0" w:color="000000"/>
              <w:bottom w:val="single" w:sz="4" w:space="0" w:color="000000"/>
            </w:tcBorders>
          </w:tcPr>
          <w:p>
            <w:pPr>
              <w:pStyle w:val="TableParagraph"/>
              <w:spacing w:line="275" w:lineRule="exact"/>
              <w:ind w:left="115"/>
              <w:rPr>
                <w:b/>
                <w:sz w:val="24"/>
              </w:rPr>
            </w:pPr>
            <w:r>
              <w:rPr>
                <w:b/>
                <w:sz w:val="24"/>
              </w:rPr>
              <w:t>S.No</w:t>
            </w:r>
          </w:p>
        </w:tc>
        <w:tc>
          <w:tcPr>
            <w:tcW w:w="2741" w:type="dxa"/>
            <w:tcBorders>
              <w:top w:val="single" w:sz="4" w:space="0" w:color="000000"/>
              <w:bottom w:val="single" w:sz="4" w:space="0" w:color="000000"/>
            </w:tcBorders>
          </w:tcPr>
          <w:p>
            <w:pPr>
              <w:pStyle w:val="TableParagraph"/>
              <w:spacing w:line="275" w:lineRule="exact"/>
              <w:ind w:left="350"/>
              <w:rPr>
                <w:b/>
                <w:sz w:val="24"/>
              </w:rPr>
            </w:pPr>
            <w:r>
              <w:rPr>
                <w:b/>
                <w:sz w:val="24"/>
              </w:rPr>
              <w:t>Name of the matrix</w:t>
            </w:r>
          </w:p>
        </w:tc>
        <w:tc>
          <w:tcPr>
            <w:tcW w:w="3982" w:type="dxa"/>
            <w:tcBorders>
              <w:top w:val="single" w:sz="4" w:space="0" w:color="000000"/>
              <w:bottom w:val="single" w:sz="4" w:space="0" w:color="000000"/>
            </w:tcBorders>
          </w:tcPr>
          <w:p>
            <w:pPr>
              <w:pStyle w:val="TableParagraph"/>
              <w:spacing w:line="275" w:lineRule="exact"/>
              <w:ind w:left="397"/>
              <w:rPr>
                <w:b/>
                <w:sz w:val="24"/>
              </w:rPr>
            </w:pPr>
            <w:r>
              <w:rPr>
                <w:b/>
                <w:sz w:val="24"/>
              </w:rPr>
              <w:t>Fractionation Range (Daltons)</w:t>
            </w:r>
          </w:p>
        </w:tc>
      </w:tr>
      <w:tr>
        <w:trPr>
          <w:trHeight w:val="401" w:hRule="atLeast"/>
        </w:trPr>
        <w:tc>
          <w:tcPr>
            <w:tcW w:w="953" w:type="dxa"/>
            <w:tcBorders>
              <w:top w:val="single" w:sz="4" w:space="0" w:color="000000"/>
            </w:tcBorders>
          </w:tcPr>
          <w:p>
            <w:pPr>
              <w:pStyle w:val="TableParagraph"/>
              <w:spacing w:line="275" w:lineRule="exact"/>
              <w:ind w:left="115"/>
              <w:rPr>
                <w:b/>
                <w:sz w:val="24"/>
              </w:rPr>
            </w:pPr>
            <w:r>
              <w:rPr>
                <w:b/>
                <w:sz w:val="24"/>
              </w:rPr>
              <w:t>1</w:t>
            </w:r>
          </w:p>
        </w:tc>
        <w:tc>
          <w:tcPr>
            <w:tcW w:w="2741" w:type="dxa"/>
            <w:tcBorders>
              <w:top w:val="single" w:sz="4" w:space="0" w:color="000000"/>
            </w:tcBorders>
          </w:tcPr>
          <w:p>
            <w:pPr>
              <w:pStyle w:val="TableParagraph"/>
              <w:spacing w:line="275" w:lineRule="exact"/>
              <w:ind w:left="350"/>
              <w:rPr>
                <w:b/>
                <w:sz w:val="24"/>
              </w:rPr>
            </w:pPr>
            <w:r>
              <w:rPr>
                <w:b/>
                <w:sz w:val="24"/>
              </w:rPr>
              <w:t>Sephadex G10</w:t>
            </w:r>
          </w:p>
        </w:tc>
        <w:tc>
          <w:tcPr>
            <w:tcW w:w="3982" w:type="dxa"/>
            <w:tcBorders>
              <w:top w:val="single" w:sz="4" w:space="0" w:color="000000"/>
            </w:tcBorders>
          </w:tcPr>
          <w:p>
            <w:pPr>
              <w:pStyle w:val="TableParagraph"/>
              <w:spacing w:line="275" w:lineRule="exact"/>
              <w:ind w:left="397"/>
              <w:rPr>
                <w:b/>
                <w:sz w:val="24"/>
              </w:rPr>
            </w:pPr>
            <w:r>
              <w:rPr>
                <w:b/>
                <w:sz w:val="24"/>
              </w:rPr>
              <w:t>Upto 700</w:t>
            </w:r>
          </w:p>
        </w:tc>
      </w:tr>
      <w:tr>
        <w:trPr>
          <w:trHeight w:val="517" w:hRule="atLeast"/>
        </w:trPr>
        <w:tc>
          <w:tcPr>
            <w:tcW w:w="953" w:type="dxa"/>
          </w:tcPr>
          <w:p>
            <w:pPr>
              <w:pStyle w:val="TableParagraph"/>
              <w:spacing w:line="240" w:lineRule="auto" w:before="116"/>
              <w:ind w:left="115"/>
              <w:rPr>
                <w:b/>
                <w:sz w:val="24"/>
              </w:rPr>
            </w:pPr>
            <w:r>
              <w:rPr>
                <w:b/>
                <w:sz w:val="24"/>
              </w:rPr>
              <w:t>2</w:t>
            </w:r>
          </w:p>
        </w:tc>
        <w:tc>
          <w:tcPr>
            <w:tcW w:w="2741" w:type="dxa"/>
          </w:tcPr>
          <w:p>
            <w:pPr>
              <w:pStyle w:val="TableParagraph"/>
              <w:spacing w:line="240" w:lineRule="auto" w:before="116"/>
              <w:ind w:left="350"/>
              <w:rPr>
                <w:b/>
                <w:sz w:val="24"/>
              </w:rPr>
            </w:pPr>
            <w:r>
              <w:rPr>
                <w:b/>
                <w:sz w:val="24"/>
              </w:rPr>
              <w:t>Sephadex G25</w:t>
            </w:r>
          </w:p>
        </w:tc>
        <w:tc>
          <w:tcPr>
            <w:tcW w:w="3982" w:type="dxa"/>
          </w:tcPr>
          <w:p>
            <w:pPr>
              <w:pStyle w:val="TableParagraph"/>
              <w:spacing w:line="240" w:lineRule="auto" w:before="116"/>
              <w:ind w:left="397"/>
              <w:rPr>
                <w:b/>
                <w:sz w:val="24"/>
              </w:rPr>
            </w:pPr>
            <w:r>
              <w:rPr>
                <w:b/>
                <w:sz w:val="24"/>
              </w:rPr>
              <w:t>1000-5000</w:t>
            </w:r>
          </w:p>
        </w:tc>
      </w:tr>
      <w:tr>
        <w:trPr>
          <w:trHeight w:val="517" w:hRule="atLeast"/>
        </w:trPr>
        <w:tc>
          <w:tcPr>
            <w:tcW w:w="953" w:type="dxa"/>
          </w:tcPr>
          <w:p>
            <w:pPr>
              <w:pStyle w:val="TableParagraph"/>
              <w:spacing w:line="240" w:lineRule="auto" w:before="115"/>
              <w:ind w:left="115"/>
              <w:rPr>
                <w:b/>
                <w:sz w:val="24"/>
              </w:rPr>
            </w:pPr>
            <w:r>
              <w:rPr>
                <w:b/>
                <w:sz w:val="24"/>
              </w:rPr>
              <w:t>3</w:t>
            </w:r>
          </w:p>
        </w:tc>
        <w:tc>
          <w:tcPr>
            <w:tcW w:w="2741" w:type="dxa"/>
          </w:tcPr>
          <w:p>
            <w:pPr>
              <w:pStyle w:val="TableParagraph"/>
              <w:spacing w:line="240" w:lineRule="auto" w:before="115"/>
              <w:ind w:left="350"/>
              <w:rPr>
                <w:b/>
                <w:sz w:val="24"/>
              </w:rPr>
            </w:pPr>
            <w:r>
              <w:rPr>
                <w:b/>
                <w:sz w:val="24"/>
              </w:rPr>
              <w:t>Sephadex G50</w:t>
            </w:r>
          </w:p>
        </w:tc>
        <w:tc>
          <w:tcPr>
            <w:tcW w:w="3982" w:type="dxa"/>
          </w:tcPr>
          <w:p>
            <w:pPr>
              <w:pStyle w:val="TableParagraph"/>
              <w:spacing w:line="240" w:lineRule="auto" w:before="115"/>
              <w:ind w:left="397"/>
              <w:rPr>
                <w:b/>
                <w:sz w:val="24"/>
              </w:rPr>
            </w:pPr>
            <w:r>
              <w:rPr>
                <w:b/>
                <w:sz w:val="24"/>
              </w:rPr>
              <w:t>1500-30,000</w:t>
            </w:r>
          </w:p>
        </w:tc>
      </w:tr>
      <w:tr>
        <w:trPr>
          <w:trHeight w:val="517" w:hRule="atLeast"/>
        </w:trPr>
        <w:tc>
          <w:tcPr>
            <w:tcW w:w="953" w:type="dxa"/>
          </w:tcPr>
          <w:p>
            <w:pPr>
              <w:pStyle w:val="TableParagraph"/>
              <w:spacing w:line="240" w:lineRule="auto" w:before="116"/>
              <w:ind w:left="115"/>
              <w:rPr>
                <w:b/>
                <w:sz w:val="24"/>
              </w:rPr>
            </w:pPr>
            <w:r>
              <w:rPr>
                <w:b/>
                <w:sz w:val="24"/>
              </w:rPr>
              <w:t>4</w:t>
            </w:r>
          </w:p>
        </w:tc>
        <w:tc>
          <w:tcPr>
            <w:tcW w:w="2741" w:type="dxa"/>
          </w:tcPr>
          <w:p>
            <w:pPr>
              <w:pStyle w:val="TableParagraph"/>
              <w:spacing w:line="240" w:lineRule="auto" w:before="116"/>
              <w:ind w:left="350"/>
              <w:rPr>
                <w:b/>
                <w:sz w:val="24"/>
              </w:rPr>
            </w:pPr>
            <w:r>
              <w:rPr>
                <w:b/>
                <w:sz w:val="24"/>
              </w:rPr>
              <w:t>Sephadex G100</w:t>
            </w:r>
          </w:p>
        </w:tc>
        <w:tc>
          <w:tcPr>
            <w:tcW w:w="3982" w:type="dxa"/>
          </w:tcPr>
          <w:p>
            <w:pPr>
              <w:pStyle w:val="TableParagraph"/>
              <w:spacing w:line="240" w:lineRule="auto" w:before="116"/>
              <w:ind w:left="397"/>
              <w:rPr>
                <w:b/>
                <w:sz w:val="24"/>
              </w:rPr>
            </w:pPr>
            <w:r>
              <w:rPr>
                <w:b/>
                <w:sz w:val="24"/>
              </w:rPr>
              <w:t>4000-150,000</w:t>
            </w:r>
          </w:p>
        </w:tc>
      </w:tr>
      <w:tr>
        <w:trPr>
          <w:trHeight w:val="517" w:hRule="atLeast"/>
        </w:trPr>
        <w:tc>
          <w:tcPr>
            <w:tcW w:w="953" w:type="dxa"/>
          </w:tcPr>
          <w:p>
            <w:pPr>
              <w:pStyle w:val="TableParagraph"/>
              <w:spacing w:line="240" w:lineRule="auto" w:before="115"/>
              <w:ind w:left="115"/>
              <w:rPr>
                <w:b/>
                <w:sz w:val="24"/>
              </w:rPr>
            </w:pPr>
            <w:r>
              <w:rPr>
                <w:b/>
                <w:sz w:val="24"/>
              </w:rPr>
              <w:t>5</w:t>
            </w:r>
          </w:p>
        </w:tc>
        <w:tc>
          <w:tcPr>
            <w:tcW w:w="2741" w:type="dxa"/>
          </w:tcPr>
          <w:p>
            <w:pPr>
              <w:pStyle w:val="TableParagraph"/>
              <w:spacing w:line="240" w:lineRule="auto" w:before="115"/>
              <w:ind w:left="350"/>
              <w:rPr>
                <w:b/>
                <w:sz w:val="24"/>
              </w:rPr>
            </w:pPr>
            <w:r>
              <w:rPr>
                <w:b/>
                <w:sz w:val="24"/>
              </w:rPr>
              <w:t>Sephadex G200</w:t>
            </w:r>
          </w:p>
        </w:tc>
        <w:tc>
          <w:tcPr>
            <w:tcW w:w="3982" w:type="dxa"/>
          </w:tcPr>
          <w:p>
            <w:pPr>
              <w:pStyle w:val="TableParagraph"/>
              <w:spacing w:line="240" w:lineRule="auto" w:before="115"/>
              <w:ind w:left="397"/>
              <w:rPr>
                <w:b/>
                <w:sz w:val="24"/>
              </w:rPr>
            </w:pPr>
            <w:r>
              <w:rPr>
                <w:b/>
                <w:sz w:val="24"/>
              </w:rPr>
              <w:t>5000-600,000</w:t>
            </w:r>
          </w:p>
        </w:tc>
      </w:tr>
      <w:tr>
        <w:trPr>
          <w:trHeight w:val="518" w:hRule="atLeast"/>
        </w:trPr>
        <w:tc>
          <w:tcPr>
            <w:tcW w:w="953" w:type="dxa"/>
          </w:tcPr>
          <w:p>
            <w:pPr>
              <w:pStyle w:val="TableParagraph"/>
              <w:spacing w:line="240" w:lineRule="auto" w:before="116"/>
              <w:ind w:left="115"/>
              <w:rPr>
                <w:b/>
                <w:sz w:val="24"/>
              </w:rPr>
            </w:pPr>
            <w:r>
              <w:rPr>
                <w:b/>
                <w:sz w:val="24"/>
              </w:rPr>
              <w:t>6</w:t>
            </w:r>
          </w:p>
        </w:tc>
        <w:tc>
          <w:tcPr>
            <w:tcW w:w="2741" w:type="dxa"/>
          </w:tcPr>
          <w:p>
            <w:pPr>
              <w:pStyle w:val="TableParagraph"/>
              <w:spacing w:line="240" w:lineRule="auto" w:before="116"/>
              <w:ind w:left="350"/>
              <w:rPr>
                <w:b/>
                <w:sz w:val="24"/>
              </w:rPr>
            </w:pPr>
            <w:r>
              <w:rPr>
                <w:b/>
                <w:sz w:val="24"/>
              </w:rPr>
              <w:t>Sepharose 4B</w:t>
            </w:r>
          </w:p>
        </w:tc>
        <w:tc>
          <w:tcPr>
            <w:tcW w:w="3982" w:type="dxa"/>
          </w:tcPr>
          <w:p>
            <w:pPr>
              <w:pStyle w:val="TableParagraph"/>
              <w:spacing w:line="240" w:lineRule="auto" w:before="116"/>
              <w:ind w:left="397"/>
              <w:rPr>
                <w:b/>
                <w:sz w:val="24"/>
              </w:rPr>
            </w:pPr>
            <w:r>
              <w:rPr>
                <w:b/>
                <w:sz w:val="24"/>
              </w:rPr>
              <w:t>60,000-20,000,000</w:t>
            </w:r>
          </w:p>
        </w:tc>
      </w:tr>
      <w:tr>
        <w:trPr>
          <w:trHeight w:val="632" w:hRule="atLeast"/>
        </w:trPr>
        <w:tc>
          <w:tcPr>
            <w:tcW w:w="953" w:type="dxa"/>
            <w:tcBorders>
              <w:bottom w:val="single" w:sz="4" w:space="0" w:color="000000"/>
            </w:tcBorders>
          </w:tcPr>
          <w:p>
            <w:pPr>
              <w:pStyle w:val="TableParagraph"/>
              <w:spacing w:line="240" w:lineRule="auto" w:before="116"/>
              <w:ind w:left="115"/>
              <w:rPr>
                <w:b/>
                <w:sz w:val="24"/>
              </w:rPr>
            </w:pPr>
            <w:r>
              <w:rPr>
                <w:b/>
                <w:sz w:val="24"/>
              </w:rPr>
              <w:t>7</w:t>
            </w:r>
          </w:p>
        </w:tc>
        <w:tc>
          <w:tcPr>
            <w:tcW w:w="2741" w:type="dxa"/>
            <w:tcBorders>
              <w:bottom w:val="single" w:sz="4" w:space="0" w:color="000000"/>
            </w:tcBorders>
          </w:tcPr>
          <w:p>
            <w:pPr>
              <w:pStyle w:val="TableParagraph"/>
              <w:spacing w:line="240" w:lineRule="auto" w:before="116"/>
              <w:ind w:left="350"/>
              <w:rPr>
                <w:b/>
                <w:sz w:val="24"/>
              </w:rPr>
            </w:pPr>
            <w:r>
              <w:rPr>
                <w:b/>
                <w:sz w:val="24"/>
              </w:rPr>
              <w:t>Sepharose 6B</w:t>
            </w:r>
          </w:p>
        </w:tc>
        <w:tc>
          <w:tcPr>
            <w:tcW w:w="3982" w:type="dxa"/>
            <w:tcBorders>
              <w:bottom w:val="single" w:sz="4" w:space="0" w:color="000000"/>
            </w:tcBorders>
          </w:tcPr>
          <w:p>
            <w:pPr>
              <w:pStyle w:val="TableParagraph"/>
              <w:spacing w:line="240" w:lineRule="auto" w:before="116"/>
              <w:ind w:left="397"/>
              <w:rPr>
                <w:b/>
                <w:sz w:val="24"/>
              </w:rPr>
            </w:pPr>
            <w:r>
              <w:rPr>
                <w:b/>
                <w:sz w:val="24"/>
              </w:rPr>
              <w:t>10,000-4,000,000</w:t>
            </w:r>
          </w:p>
        </w:tc>
      </w:tr>
    </w:tbl>
    <w:p>
      <w:pPr>
        <w:pStyle w:val="BodyText"/>
        <w:rPr>
          <w:sz w:val="26"/>
        </w:rPr>
      </w:pPr>
    </w:p>
    <w:p>
      <w:pPr>
        <w:pStyle w:val="Heading4"/>
        <w:spacing w:line="276" w:lineRule="auto" w:before="218"/>
        <w:ind w:right="319"/>
      </w:pPr>
      <w:r>
        <w:rPr/>
        <w:t>Determination of native molecular weight of a protein using gel filtration chromatography</w:t>
      </w:r>
    </w:p>
    <w:p>
      <w:pPr>
        <w:pStyle w:val="BodyText"/>
        <w:spacing w:line="360" w:lineRule="auto" w:before="196"/>
        <w:ind w:left="300" w:right="318"/>
        <w:jc w:val="both"/>
      </w:pPr>
      <w:r>
        <w:rPr/>
        <w:t>The molecular weight and size of a protein is related to the shape of the molecule and the relationship between molecular weight (M) and radius of gyration (R</w:t>
      </w:r>
      <w:r>
        <w:rPr>
          <w:vertAlign w:val="subscript"/>
        </w:rPr>
        <w:t>g</w:t>
      </w:r>
      <w:r>
        <w:rPr>
          <w:vertAlign w:val="baseline"/>
        </w:rPr>
        <w:t>)is as follows-</w:t>
      </w:r>
    </w:p>
    <w:p>
      <w:pPr>
        <w:pStyle w:val="Heading4"/>
        <w:tabs>
          <w:tab w:pos="7629" w:val="left" w:leader="dot"/>
        </w:tabs>
        <w:spacing w:before="206"/>
        <w:ind w:left="504"/>
      </w:pPr>
      <w:r>
        <w:rPr/>
        <w:t>Rg</w:t>
      </w:r>
      <w:r>
        <w:rPr>
          <w:spacing w:val="-3"/>
        </w:rPr>
        <w:t> </w:t>
      </w:r>
      <w:r>
        <w:rPr>
          <w:rFonts w:ascii="DejaVu Serif" w:hAnsi="DejaVu Serif"/>
        </w:rPr>
        <w:t>∝</w:t>
      </w:r>
      <w:r>
        <w:rPr>
          <w:rFonts w:ascii="DejaVu Serif" w:hAnsi="DejaVu Serif"/>
          <w:spacing w:val="-21"/>
        </w:rPr>
        <w:t> </w:t>
      </w:r>
      <w:r>
        <w:rPr/>
        <w:t>M</w:t>
      </w:r>
      <w:r>
        <w:rPr>
          <w:vertAlign w:val="superscript"/>
        </w:rPr>
        <w:t>a</w:t>
      </w:r>
      <w:r>
        <w:rPr>
          <w:position w:val="11"/>
          <w:vertAlign w:val="baseline"/>
        </w:rPr>
        <w:tab/>
      </w:r>
      <w:r>
        <w:rPr>
          <w:vertAlign w:val="baseline"/>
        </w:rPr>
        <w:t>Eq 32.4</w:t>
      </w:r>
    </w:p>
    <w:p>
      <w:pPr>
        <w:pStyle w:val="BodyText"/>
        <w:rPr>
          <w:b/>
          <w:sz w:val="29"/>
        </w:rPr>
      </w:pPr>
    </w:p>
    <w:p>
      <w:pPr>
        <w:pStyle w:val="BodyText"/>
        <w:spacing w:line="360" w:lineRule="auto" w:before="1"/>
        <w:ind w:left="300" w:right="317"/>
        <w:jc w:val="both"/>
      </w:pPr>
      <w:r>
        <w:rPr/>
        <w:t>here “a” is a constant and it depends on shape of the molecule, a=1 for Rod, a=0.5 for coils and a=0.33 for spherical molecules.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6"/>
        <w:jc w:val="both"/>
      </w:pPr>
      <w:r>
        <w:rPr/>
        <w:t>The set of known molecular weight standard protein can be run on a gel filitration column and elution volume can be calculated from the chromatogram (Figure 32.4). A separate run with the analyte will give elution volume for unknown sample. Using following formula, Kd value for all standard protein and the test analyte can be</w:t>
      </w:r>
    </w:p>
    <w:p>
      <w:pPr>
        <w:pStyle w:val="BodyText"/>
        <w:tabs>
          <w:tab w:pos="4619" w:val="left" w:leader="none"/>
        </w:tabs>
        <w:spacing w:line="243" w:lineRule="exact" w:before="70"/>
        <w:ind w:left="299"/>
        <w:jc w:val="both"/>
        <w:rPr>
          <w:rFonts w:ascii="Symbola" w:hAnsi="Symbola" w:eastAsia="Symbola"/>
        </w:rPr>
      </w:pPr>
      <w:r>
        <w:rPr/>
        <w:pict>
          <v:rect style="position:absolute;margin-left:342pt;margin-top:10.863095pt;width:26.76pt;height:.84pt;mso-position-horizontal-relative:page;mso-position-vertical-relative:paragraph;z-index:-18371584" filled="true" fillcolor="#000000" stroked="false">
            <v:fill type="solid"/>
            <w10:wrap type="none"/>
          </v:rect>
        </w:pict>
      </w:r>
      <w:r>
        <w:rPr>
          <w:w w:val="105"/>
        </w:rPr>
        <w:t>calculated.</w:t>
        <w:tab/>
      </w:r>
      <w:r>
        <w:rPr>
          <w:rFonts w:ascii="Symbola" w:hAnsi="Symbola" w:eastAsia="Symbola"/>
          <w:w w:val="105"/>
        </w:rPr>
        <w:t>𝐊𝐝 =</w:t>
      </w:r>
      <w:r>
        <w:rPr>
          <w:rFonts w:ascii="Symbola" w:hAnsi="Symbola" w:eastAsia="Symbola"/>
          <w:spacing w:val="33"/>
          <w:w w:val="105"/>
        </w:rPr>
        <w:t> </w:t>
      </w:r>
      <w:r>
        <w:rPr>
          <w:rFonts w:ascii="Symbola" w:hAnsi="Symbola" w:eastAsia="Symbola"/>
          <w:w w:val="105"/>
          <w:vertAlign w:val="superscript"/>
        </w:rPr>
        <w:t>𝑽𝒆−𝑽𝒐</w:t>
      </w:r>
    </w:p>
    <w:p>
      <w:pPr>
        <w:spacing w:line="137" w:lineRule="exact" w:before="0"/>
        <w:ind w:left="2903" w:right="617" w:firstLine="0"/>
        <w:jc w:val="center"/>
        <w:rPr>
          <w:rFonts w:ascii="Symbola" w:eastAsia="Symbola"/>
          <w:sz w:val="17"/>
        </w:rPr>
      </w:pPr>
      <w:r>
        <w:rPr>
          <w:rFonts w:ascii="Symbola" w:eastAsia="Symbola"/>
          <w:sz w:val="17"/>
        </w:rPr>
        <w:t>𝑽𝒊</w:t>
      </w:r>
    </w:p>
    <w:p>
      <w:pPr>
        <w:pStyle w:val="BodyText"/>
        <w:spacing w:before="1"/>
        <w:rPr>
          <w:rFonts w:ascii="Symbola"/>
          <w:sz w:val="21"/>
        </w:rPr>
      </w:pPr>
    </w:p>
    <w:p>
      <w:pPr>
        <w:pStyle w:val="BodyText"/>
        <w:spacing w:line="360" w:lineRule="auto" w:before="90"/>
        <w:ind w:left="300" w:right="443"/>
      </w:pPr>
      <w:r>
        <w:rPr/>
        <w:t>A plot of Kd versus log mol wt is given in Figure 32.4, B and it will allow us to calculate the molecular weight of the unknown analyte.</w:t>
      </w:r>
    </w:p>
    <w:p>
      <w:pPr>
        <w:pStyle w:val="BodyText"/>
        <w:spacing w:before="7"/>
        <w:rPr>
          <w:sz w:val="14"/>
        </w:rPr>
      </w:pPr>
      <w:r>
        <w:rPr/>
        <w:drawing>
          <wp:anchor distT="0" distB="0" distL="0" distR="0" allowOverlap="1" layoutInCell="1" locked="0" behindDoc="0" simplePos="0" relativeHeight="326">
            <wp:simplePos x="0" y="0"/>
            <wp:positionH relativeFrom="page">
              <wp:posOffset>1143427</wp:posOffset>
            </wp:positionH>
            <wp:positionV relativeFrom="paragraph">
              <wp:posOffset>131512</wp:posOffset>
            </wp:positionV>
            <wp:extent cx="4923241" cy="2218944"/>
            <wp:effectExtent l="0" t="0" r="0" b="0"/>
            <wp:wrapTopAndBottom/>
            <wp:docPr id="345" name="image177.png"/>
            <wp:cNvGraphicFramePr>
              <a:graphicFrameLocks noChangeAspect="1"/>
            </wp:cNvGraphicFramePr>
            <a:graphic>
              <a:graphicData uri="http://schemas.openxmlformats.org/drawingml/2006/picture">
                <pic:pic>
                  <pic:nvPicPr>
                    <pic:cNvPr id="346" name="image177.png"/>
                    <pic:cNvPicPr/>
                  </pic:nvPicPr>
                  <pic:blipFill>
                    <a:blip r:embed="rId191" cstate="print"/>
                    <a:stretch>
                      <a:fillRect/>
                    </a:stretch>
                  </pic:blipFill>
                  <pic:spPr>
                    <a:xfrm>
                      <a:off x="0" y="0"/>
                      <a:ext cx="4923241" cy="2218944"/>
                    </a:xfrm>
                    <a:prstGeom prst="rect">
                      <a:avLst/>
                    </a:prstGeom>
                  </pic:spPr>
                </pic:pic>
              </a:graphicData>
            </a:graphic>
          </wp:anchor>
        </w:drawing>
      </w:r>
    </w:p>
    <w:p>
      <w:pPr>
        <w:pStyle w:val="BodyText"/>
        <w:spacing w:before="4"/>
        <w:rPr>
          <w:sz w:val="28"/>
        </w:rPr>
      </w:pPr>
    </w:p>
    <w:p>
      <w:pPr>
        <w:spacing w:before="0"/>
        <w:ind w:left="300" w:right="400" w:firstLine="0"/>
        <w:jc w:val="left"/>
        <w:rPr>
          <w:b/>
          <w:sz w:val="16"/>
        </w:rPr>
      </w:pPr>
      <w:r>
        <w:rPr>
          <w:b/>
          <w:sz w:val="16"/>
        </w:rPr>
        <w:t>Figure 32.3: Determination of molecular weight by gel filtration chromatography. (A) Gel filtration chromatogram with the standard proteins (1-6), (B) Relationship between distribution constant (Kd) and Log Molecular weight.</w:t>
      </w:r>
    </w:p>
    <w:p>
      <w:pPr>
        <w:spacing w:after="0"/>
        <w:jc w:val="left"/>
        <w:rPr>
          <w:sz w:val="16"/>
        </w:rPr>
        <w:sectPr>
          <w:pgSz w:w="11910" w:h="16840"/>
          <w:pgMar w:header="722" w:footer="748" w:top="1300" w:bottom="940" w:left="1500" w:right="1480"/>
        </w:sectPr>
      </w:pPr>
    </w:p>
    <w:p>
      <w:pPr>
        <w:pStyle w:val="Heading2"/>
      </w:pPr>
      <w:r>
        <w:rPr/>
        <w:t>Lecture 33 Gel Filtration Chromatography-II</w:t>
      </w:r>
    </w:p>
    <w:p>
      <w:pPr>
        <w:pStyle w:val="BodyText"/>
        <w:spacing w:line="360" w:lineRule="auto" w:before="251"/>
        <w:ind w:left="299" w:right="318"/>
        <w:jc w:val="both"/>
      </w:pPr>
      <w:r>
        <w:rPr>
          <w:b/>
        </w:rPr>
        <w:t>Oligomeric status of the protein-</w:t>
      </w:r>
      <w:r>
        <w:rPr/>
        <w:t>Native molecular weight determination by gel filtration in conjugation with the SDS-PAGE can be used to determine the oligomeric status of the protein.</w:t>
      </w:r>
    </w:p>
    <w:p>
      <w:pPr>
        <w:pStyle w:val="BodyText"/>
        <w:spacing w:before="9"/>
        <w:rPr>
          <w:sz w:val="20"/>
        </w:rPr>
      </w:pPr>
    </w:p>
    <w:p>
      <w:pPr>
        <w:spacing w:line="170" w:lineRule="auto" w:before="0"/>
        <w:ind w:left="552" w:right="617" w:firstLine="0"/>
        <w:jc w:val="center"/>
        <w:rPr>
          <w:rFonts w:ascii="Symbola"/>
          <w:sz w:val="20"/>
        </w:rPr>
      </w:pPr>
      <w:r>
        <w:rPr/>
        <w:pict>
          <v:rect style="position:absolute;margin-left:279.480011pt;margin-top:10.963055pt;width:160.080pt;height:.96pt;mso-position-horizontal-relative:page;mso-position-vertical-relative:paragraph;z-index:-18371072" filled="true" fillcolor="#000000" stroked="false">
            <v:fill type="solid"/>
            <w10:wrap type="none"/>
          </v:rect>
        </w:pict>
      </w:r>
      <w:r>
        <w:rPr>
          <w:rFonts w:ascii="Symbola"/>
          <w:w w:val="105"/>
          <w:position w:val="-16"/>
          <w:sz w:val="28"/>
        </w:rPr>
        <w:t>Oligomeric Status = </w:t>
      </w:r>
      <w:r>
        <w:rPr>
          <w:rFonts w:ascii="Symbola"/>
          <w:w w:val="105"/>
          <w:sz w:val="20"/>
        </w:rPr>
        <w:t>Molecular weight (Gel Filtration)</w:t>
      </w:r>
    </w:p>
    <w:p>
      <w:pPr>
        <w:spacing w:line="187" w:lineRule="exact" w:before="0"/>
        <w:ind w:left="4168" w:right="0" w:firstLine="0"/>
        <w:jc w:val="left"/>
        <w:rPr>
          <w:rFonts w:ascii="Symbola" w:hAnsi="Symbola" w:cs="Symbola" w:eastAsia="Symbola"/>
          <w:sz w:val="20"/>
          <w:szCs w:val="20"/>
        </w:rPr>
      </w:pPr>
      <w:r>
        <w:rPr>
          <w:rFonts w:ascii="Symbola" w:hAnsi="Symbola" w:cs="Symbola" w:eastAsia="Symbola"/>
          <w:spacing w:val="1"/>
          <w:w w:val="102"/>
          <w:sz w:val="20"/>
          <w:szCs w:val="20"/>
        </w:rPr>
        <w:t>M</w:t>
      </w:r>
      <w:r>
        <w:rPr>
          <w:rFonts w:ascii="Symbola" w:hAnsi="Symbola" w:cs="Symbola" w:eastAsia="Symbola"/>
          <w:w w:val="115"/>
          <w:sz w:val="20"/>
          <w:szCs w:val="20"/>
        </w:rPr>
        <w:t>o</w:t>
      </w:r>
      <w:r>
        <w:rPr>
          <w:rFonts w:ascii="Symbola" w:hAnsi="Symbola" w:cs="Symbola" w:eastAsia="Symbola"/>
          <w:spacing w:val="-1"/>
          <w:w w:val="117"/>
          <w:sz w:val="20"/>
          <w:szCs w:val="20"/>
        </w:rPr>
        <w:t>l</w:t>
      </w:r>
      <w:r>
        <w:rPr>
          <w:rFonts w:ascii="Symbola" w:hAnsi="Symbola" w:cs="Symbola" w:eastAsia="Symbola"/>
          <w:w w:val="117"/>
          <w:sz w:val="20"/>
          <w:szCs w:val="20"/>
        </w:rPr>
        <w:t>e</w:t>
      </w:r>
      <w:r>
        <w:rPr>
          <w:rFonts w:ascii="Symbola" w:hAnsi="Symbola" w:cs="Symbola" w:eastAsia="Symbola"/>
          <w:spacing w:val="1"/>
          <w:w w:val="111"/>
          <w:sz w:val="20"/>
          <w:szCs w:val="20"/>
        </w:rPr>
        <w:t>c</w:t>
      </w:r>
      <w:r>
        <w:rPr>
          <w:rFonts w:ascii="Symbola" w:hAnsi="Symbola" w:cs="Symbola" w:eastAsia="Symbola"/>
          <w:w w:val="107"/>
          <w:sz w:val="20"/>
          <w:szCs w:val="20"/>
        </w:rPr>
        <w:t>u</w:t>
      </w:r>
      <w:r>
        <w:rPr>
          <w:rFonts w:ascii="Symbola" w:hAnsi="Symbola" w:cs="Symbola" w:eastAsia="Symbola"/>
          <w:spacing w:val="-1"/>
          <w:w w:val="107"/>
          <w:sz w:val="20"/>
          <w:szCs w:val="20"/>
        </w:rPr>
        <w:t>l</w:t>
      </w:r>
      <w:r>
        <w:rPr>
          <w:rFonts w:ascii="Symbola" w:hAnsi="Symbola" w:cs="Symbola" w:eastAsia="Symbola"/>
          <w:w w:val="107"/>
          <w:sz w:val="20"/>
          <w:szCs w:val="20"/>
        </w:rPr>
        <w:t>a</w:t>
      </w:r>
      <w:r>
        <w:rPr>
          <w:rFonts w:ascii="Symbola" w:hAnsi="Symbola" w:cs="Symbola" w:eastAsia="Symbola"/>
          <w:w w:val="116"/>
          <w:sz w:val="20"/>
          <w:szCs w:val="20"/>
        </w:rPr>
        <w:t>r</w:t>
      </w:r>
      <w:r>
        <w:rPr>
          <w:rFonts w:ascii="Symbola" w:hAnsi="Symbola" w:cs="Symbola" w:eastAsia="Symbola"/>
          <w:spacing w:val="-5"/>
          <w:sz w:val="20"/>
          <w:szCs w:val="20"/>
        </w:rPr>
        <w:t> </w:t>
      </w:r>
      <w:r>
        <w:rPr>
          <w:rFonts w:ascii="Symbola" w:hAnsi="Symbola" w:cs="Symbola" w:eastAsia="Symbola"/>
          <w:spacing w:val="-1"/>
          <w:w w:val="112"/>
          <w:sz w:val="20"/>
          <w:szCs w:val="20"/>
        </w:rPr>
        <w:t>w</w:t>
      </w:r>
      <w:r>
        <w:rPr>
          <w:rFonts w:ascii="Symbola" w:hAnsi="Symbola" w:cs="Symbola" w:eastAsia="Symbola"/>
          <w:w w:val="120"/>
          <w:sz w:val="20"/>
          <w:szCs w:val="20"/>
        </w:rPr>
        <w:t>e</w:t>
      </w:r>
      <w:r>
        <w:rPr>
          <w:rFonts w:ascii="Symbola" w:hAnsi="Symbola" w:cs="Symbola" w:eastAsia="Symbola"/>
          <w:w w:val="117"/>
          <w:sz w:val="20"/>
          <w:szCs w:val="20"/>
        </w:rPr>
        <w:t>i</w:t>
      </w:r>
      <w:r>
        <w:rPr>
          <w:rFonts w:ascii="Symbola" w:hAnsi="Symbola" w:cs="Symbola" w:eastAsia="Symbola"/>
          <w:spacing w:val="-1"/>
          <w:w w:val="105"/>
          <w:sz w:val="20"/>
          <w:szCs w:val="20"/>
        </w:rPr>
        <w:t>g</w:t>
      </w:r>
      <w:r>
        <w:rPr>
          <w:rFonts w:ascii="Symbola" w:hAnsi="Symbola" w:cs="Symbola" w:eastAsia="Symbola"/>
          <w:w w:val="107"/>
          <w:sz w:val="20"/>
          <w:szCs w:val="20"/>
        </w:rPr>
        <w:t>h</w:t>
      </w:r>
      <w:r>
        <w:rPr>
          <w:rFonts w:ascii="Symbola" w:hAnsi="Symbola" w:cs="Symbola" w:eastAsia="Symbola"/>
          <w:w w:val="102"/>
          <w:sz w:val="20"/>
          <w:szCs w:val="20"/>
        </w:rPr>
        <w:t>t</w:t>
      </w:r>
      <w:r>
        <w:rPr>
          <w:rFonts w:ascii="Symbola" w:hAnsi="Symbola" w:cs="Symbola" w:eastAsia="Symbola"/>
          <w:spacing w:val="-3"/>
          <w:sz w:val="20"/>
          <w:szCs w:val="20"/>
        </w:rPr>
        <w:t> </w:t>
      </w:r>
      <w:r>
        <w:rPr>
          <w:rFonts w:ascii="Symbola" w:hAnsi="Symbola" w:cs="Symbola" w:eastAsia="Symbola"/>
          <w:spacing w:val="-1"/>
          <w:w w:val="44"/>
          <w:sz w:val="20"/>
          <w:szCs w:val="20"/>
        </w:rPr>
        <w:t>�</w:t>
      </w:r>
      <w:r>
        <w:rPr>
          <w:rFonts w:ascii="Symbola" w:hAnsi="Symbola" w:cs="Symbola" w:eastAsia="Symbola"/>
          <w:spacing w:val="1"/>
          <w:w w:val="113"/>
          <w:sz w:val="20"/>
          <w:szCs w:val="20"/>
        </w:rPr>
        <w:t>S</w:t>
      </w:r>
      <w:r>
        <w:rPr>
          <w:rFonts w:ascii="Symbola" w:hAnsi="Symbola" w:cs="Symbola" w:eastAsia="Symbola"/>
          <w:spacing w:val="-1"/>
          <w:w w:val="107"/>
          <w:sz w:val="20"/>
          <w:szCs w:val="20"/>
        </w:rPr>
        <w:t>D</w:t>
      </w:r>
      <w:r>
        <w:rPr>
          <w:rFonts w:ascii="Symbola" w:hAnsi="Symbola" w:cs="Symbola" w:eastAsia="Symbola"/>
          <w:spacing w:val="1"/>
          <w:w w:val="107"/>
          <w:sz w:val="20"/>
          <w:szCs w:val="20"/>
        </w:rPr>
        <w:t>S</w:t>
      </w:r>
      <w:r>
        <w:rPr>
          <w:rFonts w:ascii="Symbola" w:hAnsi="Symbola" w:cs="Symbola" w:eastAsia="Symbola"/>
          <w:w w:val="88"/>
          <w:sz w:val="20"/>
          <w:szCs w:val="20"/>
        </w:rPr>
        <w:t>-</w:t>
      </w:r>
      <w:r>
        <w:rPr>
          <w:rFonts w:ascii="Symbola" w:hAnsi="Symbola" w:cs="Symbola" w:eastAsia="Symbola"/>
          <w:w w:val="100"/>
          <w:sz w:val="20"/>
          <w:szCs w:val="20"/>
        </w:rPr>
        <w:t>P</w:t>
      </w:r>
      <w:r>
        <w:rPr>
          <w:rFonts w:ascii="Symbola" w:hAnsi="Symbola" w:cs="Symbola" w:eastAsia="Symbola"/>
          <w:w w:val="95"/>
          <w:sz w:val="20"/>
          <w:szCs w:val="20"/>
        </w:rPr>
        <w:t>AG</w:t>
      </w:r>
      <w:r>
        <w:rPr>
          <w:rFonts w:ascii="Symbola" w:hAnsi="Symbola" w:cs="Symbola" w:eastAsia="Symbola"/>
          <w:spacing w:val="-1"/>
          <w:w w:val="96"/>
          <w:sz w:val="20"/>
          <w:szCs w:val="20"/>
        </w:rPr>
        <w:t>E</w:t>
      </w:r>
      <w:r>
        <w:rPr>
          <w:rFonts w:ascii="Symbola" w:hAnsi="Symbola" w:cs="Symbola" w:eastAsia="Symbola"/>
          <w:w w:val="44"/>
          <w:sz w:val="20"/>
          <w:szCs w:val="20"/>
        </w:rPr>
        <w:t>�</w:t>
      </w:r>
    </w:p>
    <w:p>
      <w:pPr>
        <w:pStyle w:val="BodyText"/>
        <w:spacing w:before="8"/>
        <w:rPr>
          <w:rFonts w:ascii="Symbola"/>
          <w:sz w:val="17"/>
        </w:rPr>
      </w:pPr>
    </w:p>
    <w:p>
      <w:pPr>
        <w:pStyle w:val="BodyText"/>
        <w:spacing w:line="360" w:lineRule="auto" w:before="90"/>
        <w:ind w:left="299" w:right="313"/>
        <w:jc w:val="both"/>
      </w:pPr>
      <w:r>
        <w:rPr>
          <w:b/>
        </w:rPr>
        <w:t>Studying protein folding-</w:t>
      </w:r>
      <w:r>
        <w:rPr/>
        <w:t>Protein is madeup of the different types of amio acid residues linked by the peptide bond. As soon as peptide chain comes out from the ribosome, it folds into the 3-D conformation directed by the amino acid sequence, external environment and other factors. Protein structure has multilevel organization; Primary structure (sequence of protein), secondary (α-helix, β-sheet and turn), tertiary and quaternary structure. When protein is incubated with the increasing concentration of denaturating agents (such as urea), it unfolds the native structure into the unfolded extended conformation following multiple stages. The different protein conformation forms during unfolding pathway has distinct hydrodynamic surface area and it can be use to follow protein folding-unfolding stages with the gel filtration chromatography. The details of the experimental setup is given in the Figure 33.1. Protein is incubated with different concentration of urea (0-8M) for 8-10hrs at 37</w:t>
      </w:r>
      <w:r>
        <w:rPr>
          <w:vertAlign w:val="superscript"/>
        </w:rPr>
        <w:t>0</w:t>
      </w:r>
      <w:r>
        <w:rPr>
          <w:vertAlign w:val="baseline"/>
        </w:rPr>
        <w:t>C. A gel filtration column is equiliberated with the buffer containing urea (same as in incubation mixture) and the incubation mixture is analyzed. As the concentration of denaturating agent is increasing, protein will unfold with an increase in hydrodynamic surface area. As a result, protein peak shifts towards left. At highest concentration of denaturant, protein unfolds completely and mostly appear in void volume.</w:t>
      </w:r>
    </w:p>
    <w:p>
      <w:pPr>
        <w:spacing w:after="0" w:line="360" w:lineRule="auto"/>
        <w:jc w:val="both"/>
        <w:sectPr>
          <w:pgSz w:w="11910" w:h="16840"/>
          <w:pgMar w:header="722" w:footer="748" w:top="1300" w:bottom="940" w:left="1500" w:right="1480"/>
        </w:sectPr>
      </w:pPr>
    </w:p>
    <w:p>
      <w:pPr>
        <w:pStyle w:val="BodyText"/>
        <w:spacing w:line="360" w:lineRule="auto" w:before="119"/>
        <w:ind w:left="299" w:right="316"/>
        <w:jc w:val="both"/>
      </w:pPr>
      <w:r>
        <w:rPr>
          <w:b/>
        </w:rPr>
        <w:t>Studying protein-ligand interaction-</w:t>
      </w:r>
      <w:r>
        <w:rPr/>
        <w:t>Gel filtration chromatography separates the molecules based on their size. Ligand binding to the protein induces conformational changes, result into the change in size or shape (Figure 33.2). In addition, ligand is small in size where as protein-ligand complex is big and may appear at a distinct  place in the column. In step 1, a gel filtration column is equiliberated with the buffer and elution profile of ligand is recorded. Now column is equliberated with the buffer containing ligand molecule. As the concentration of ligand is increased, protein binds ligand and form a larger complex with an increase in hydrodynamic surface area. As a result, protein peak shifts towards left. As the concentration of ligand</w:t>
      </w:r>
      <w:r>
        <w:rPr>
          <w:spacing w:val="-5"/>
        </w:rPr>
        <w:t> </w:t>
      </w:r>
      <w:r>
        <w:rPr/>
        <w:t>will</w:t>
      </w:r>
    </w:p>
    <w:p>
      <w:pPr>
        <w:pStyle w:val="BodyText"/>
        <w:spacing w:before="7"/>
        <w:rPr>
          <w:sz w:val="14"/>
        </w:rPr>
      </w:pPr>
      <w:r>
        <w:rPr/>
        <w:drawing>
          <wp:anchor distT="0" distB="0" distL="0" distR="0" allowOverlap="1" layoutInCell="1" locked="0" behindDoc="0" simplePos="0" relativeHeight="329">
            <wp:simplePos x="0" y="0"/>
            <wp:positionH relativeFrom="page">
              <wp:posOffset>1475193</wp:posOffset>
            </wp:positionH>
            <wp:positionV relativeFrom="paragraph">
              <wp:posOffset>131449</wp:posOffset>
            </wp:positionV>
            <wp:extent cx="4611476" cy="3291840"/>
            <wp:effectExtent l="0" t="0" r="0" b="0"/>
            <wp:wrapTopAndBottom/>
            <wp:docPr id="347" name="image178.png"/>
            <wp:cNvGraphicFramePr>
              <a:graphicFrameLocks noChangeAspect="1"/>
            </wp:cNvGraphicFramePr>
            <a:graphic>
              <a:graphicData uri="http://schemas.openxmlformats.org/drawingml/2006/picture">
                <pic:pic>
                  <pic:nvPicPr>
                    <pic:cNvPr id="348" name="image178.png"/>
                    <pic:cNvPicPr/>
                  </pic:nvPicPr>
                  <pic:blipFill>
                    <a:blip r:embed="rId192" cstate="print"/>
                    <a:stretch>
                      <a:fillRect/>
                    </a:stretch>
                  </pic:blipFill>
                  <pic:spPr>
                    <a:xfrm>
                      <a:off x="0" y="0"/>
                      <a:ext cx="4611476" cy="3291840"/>
                    </a:xfrm>
                    <a:prstGeom prst="rect">
                      <a:avLst/>
                    </a:prstGeom>
                  </pic:spPr>
                </pic:pic>
              </a:graphicData>
            </a:graphic>
          </wp:anchor>
        </w:drawing>
      </w:r>
    </w:p>
    <w:p>
      <w:pPr>
        <w:pStyle w:val="BodyText"/>
        <w:rPr>
          <w:sz w:val="37"/>
        </w:rPr>
      </w:pPr>
    </w:p>
    <w:p>
      <w:pPr>
        <w:spacing w:before="1"/>
        <w:ind w:left="600" w:right="617" w:firstLine="0"/>
        <w:jc w:val="center"/>
        <w:rPr>
          <w:b/>
          <w:sz w:val="16"/>
        </w:rPr>
      </w:pPr>
      <w:r>
        <w:rPr>
          <w:b/>
          <w:sz w:val="16"/>
        </w:rPr>
        <w:t>Figure 33.1: Studying Protein folding stages by gel filtration chromatography.</w:t>
      </w:r>
    </w:p>
    <w:p>
      <w:pPr>
        <w:pStyle w:val="BodyText"/>
        <w:rPr>
          <w:b/>
          <w:sz w:val="18"/>
        </w:rPr>
      </w:pPr>
    </w:p>
    <w:p>
      <w:pPr>
        <w:pStyle w:val="BodyText"/>
        <w:spacing w:before="6"/>
        <w:rPr>
          <w:b/>
          <w:sz w:val="18"/>
        </w:rPr>
      </w:pPr>
    </w:p>
    <w:p>
      <w:pPr>
        <w:pStyle w:val="BodyText"/>
        <w:spacing w:line="360" w:lineRule="auto"/>
        <w:ind w:left="300" w:right="317"/>
        <w:jc w:val="both"/>
      </w:pPr>
      <w:r>
        <w:rPr/>
        <w:t>increase with a fixed amount of the protein, free ligand will appear in the chromatogram. The protein amount and the concentration at which free ligand appeared, and the elution data can be use to calculate the stoichiometric ratio of ligand/protein and the equilibrium constant.</w:t>
      </w:r>
    </w:p>
    <w:p>
      <w:pPr>
        <w:spacing w:after="0" w:line="360" w:lineRule="auto"/>
        <w:jc w:val="both"/>
        <w:sectPr>
          <w:pgSz w:w="11910" w:h="16840"/>
          <w:pgMar w:header="722" w:footer="748" w:top="1300" w:bottom="940" w:left="1500" w:right="1480"/>
        </w:sectPr>
      </w:pPr>
    </w:p>
    <w:p>
      <w:pPr>
        <w:pStyle w:val="BodyText"/>
        <w:spacing w:before="11"/>
        <w:rPr>
          <w:sz w:val="10"/>
        </w:rPr>
      </w:pPr>
    </w:p>
    <w:p>
      <w:pPr>
        <w:pStyle w:val="BodyText"/>
        <w:ind w:left="330"/>
        <w:rPr>
          <w:sz w:val="20"/>
        </w:rPr>
      </w:pPr>
      <w:r>
        <w:rPr>
          <w:sz w:val="20"/>
        </w:rPr>
        <w:drawing>
          <wp:inline distT="0" distB="0" distL="0" distR="0">
            <wp:extent cx="4816085" cy="4126991"/>
            <wp:effectExtent l="0" t="0" r="0" b="0"/>
            <wp:docPr id="349" name="image179.png"/>
            <wp:cNvGraphicFramePr>
              <a:graphicFrameLocks noChangeAspect="1"/>
            </wp:cNvGraphicFramePr>
            <a:graphic>
              <a:graphicData uri="http://schemas.openxmlformats.org/drawingml/2006/picture">
                <pic:pic>
                  <pic:nvPicPr>
                    <pic:cNvPr id="350" name="image179.png"/>
                    <pic:cNvPicPr/>
                  </pic:nvPicPr>
                  <pic:blipFill>
                    <a:blip r:embed="rId193" cstate="print"/>
                    <a:stretch>
                      <a:fillRect/>
                    </a:stretch>
                  </pic:blipFill>
                  <pic:spPr>
                    <a:xfrm>
                      <a:off x="0" y="0"/>
                      <a:ext cx="4816085" cy="4126991"/>
                    </a:xfrm>
                    <a:prstGeom prst="rect">
                      <a:avLst/>
                    </a:prstGeom>
                  </pic:spPr>
                </pic:pic>
              </a:graphicData>
            </a:graphic>
          </wp:inline>
        </w:drawing>
      </w:r>
      <w:r>
        <w:rPr>
          <w:sz w:val="20"/>
        </w:rPr>
      </w:r>
    </w:p>
    <w:p>
      <w:pPr>
        <w:pStyle w:val="BodyText"/>
        <w:rPr>
          <w:sz w:val="20"/>
        </w:rPr>
      </w:pPr>
    </w:p>
    <w:p>
      <w:pPr>
        <w:pStyle w:val="BodyText"/>
        <w:spacing w:before="3"/>
        <w:rPr>
          <w:sz w:val="19"/>
        </w:rPr>
      </w:pPr>
    </w:p>
    <w:p>
      <w:pPr>
        <w:spacing w:before="0"/>
        <w:ind w:left="600" w:right="617" w:firstLine="0"/>
        <w:jc w:val="center"/>
        <w:rPr>
          <w:b/>
          <w:sz w:val="16"/>
        </w:rPr>
      </w:pPr>
      <w:r>
        <w:rPr>
          <w:b/>
          <w:sz w:val="16"/>
        </w:rPr>
        <w:t>Figure 33.2: Studying Protein-ligand interaction by gel filtration chromatography.</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5"/>
        <w:jc w:val="both"/>
      </w:pPr>
      <w:r>
        <w:rPr>
          <w:b/>
        </w:rPr>
        <w:t>Desalting- </w:t>
      </w:r>
      <w:r>
        <w:rPr/>
        <w:t>Desalting or removal of the small molecule from the protein is important for activity assay and other down stream processes. A gel filtration column is equilibrated with the buffer or water and then the sample for desalting is loaded. After the run the protein and salt are eluted separaetely as peak (Figure 33.3).</w:t>
      </w:r>
    </w:p>
    <w:p>
      <w:pPr>
        <w:pStyle w:val="BodyText"/>
        <w:spacing w:before="7"/>
        <w:rPr>
          <w:sz w:val="14"/>
        </w:rPr>
      </w:pPr>
      <w:r>
        <w:rPr/>
        <w:drawing>
          <wp:anchor distT="0" distB="0" distL="0" distR="0" allowOverlap="1" layoutInCell="1" locked="0" behindDoc="0" simplePos="0" relativeHeight="330">
            <wp:simplePos x="0" y="0"/>
            <wp:positionH relativeFrom="page">
              <wp:posOffset>1491246</wp:posOffset>
            </wp:positionH>
            <wp:positionV relativeFrom="paragraph">
              <wp:posOffset>131477</wp:posOffset>
            </wp:positionV>
            <wp:extent cx="4581611" cy="2322576"/>
            <wp:effectExtent l="0" t="0" r="0" b="0"/>
            <wp:wrapTopAndBottom/>
            <wp:docPr id="351" name="image180.png"/>
            <wp:cNvGraphicFramePr>
              <a:graphicFrameLocks noChangeAspect="1"/>
            </wp:cNvGraphicFramePr>
            <a:graphic>
              <a:graphicData uri="http://schemas.openxmlformats.org/drawingml/2006/picture">
                <pic:pic>
                  <pic:nvPicPr>
                    <pic:cNvPr id="352" name="image180.png"/>
                    <pic:cNvPicPr/>
                  </pic:nvPicPr>
                  <pic:blipFill>
                    <a:blip r:embed="rId194" cstate="print"/>
                    <a:stretch>
                      <a:fillRect/>
                    </a:stretch>
                  </pic:blipFill>
                  <pic:spPr>
                    <a:xfrm>
                      <a:off x="0" y="0"/>
                      <a:ext cx="4581611" cy="2322576"/>
                    </a:xfrm>
                    <a:prstGeom prst="rect">
                      <a:avLst/>
                    </a:prstGeom>
                  </pic:spPr>
                </pic:pic>
              </a:graphicData>
            </a:graphic>
          </wp:anchor>
        </w:drawing>
      </w:r>
    </w:p>
    <w:p>
      <w:pPr>
        <w:pStyle w:val="BodyText"/>
        <w:spacing w:before="8"/>
        <w:rPr>
          <w:sz w:val="36"/>
        </w:rPr>
      </w:pPr>
    </w:p>
    <w:p>
      <w:pPr>
        <w:spacing w:before="0"/>
        <w:ind w:left="601" w:right="617" w:firstLine="0"/>
        <w:jc w:val="center"/>
        <w:rPr>
          <w:b/>
          <w:sz w:val="16"/>
        </w:rPr>
      </w:pPr>
      <w:r>
        <w:rPr>
          <w:b/>
          <w:sz w:val="16"/>
        </w:rPr>
        <w:t>Figure 33.3: Desalting of a sample by gel filtration chromatography.</w:t>
      </w:r>
    </w:p>
    <w:p>
      <w:pPr>
        <w:spacing w:after="0"/>
        <w:jc w:val="center"/>
        <w:rPr>
          <w:sz w:val="16"/>
        </w:rPr>
        <w:sectPr>
          <w:pgSz w:w="11910" w:h="16840"/>
          <w:pgMar w:header="722" w:footer="748" w:top="1300" w:bottom="940" w:left="1500" w:right="1480"/>
        </w:sectPr>
      </w:pPr>
    </w:p>
    <w:p>
      <w:pPr>
        <w:pStyle w:val="Heading2"/>
      </w:pPr>
      <w:r>
        <w:rPr/>
        <w:t>Lecture 34 Affinity Chromatography-I</w:t>
      </w:r>
    </w:p>
    <w:p>
      <w:pPr>
        <w:pStyle w:val="BodyText"/>
        <w:spacing w:line="360" w:lineRule="auto" w:before="251"/>
        <w:ind w:left="300" w:right="315"/>
        <w:jc w:val="both"/>
      </w:pPr>
      <w:r>
        <w:rPr>
          <w:b/>
        </w:rPr>
        <w:t>Introduction: </w:t>
      </w:r>
      <w:r>
        <w:rPr/>
        <w:t>The chromatography techniques we discussed so far were exploiting different types of interactions between the matrix and the group present on the analyte but these chromatography techniques are not specific towards a particular analyte per se. The generalized chromatography approaches needs higher sample volume to isolate the molecule of interest. In the current lecture we will discuss another chromatography technique where a chromatography matrix is specific for a particular molecule or group of</w:t>
      </w:r>
      <w:r>
        <w:rPr>
          <w:spacing w:val="-2"/>
        </w:rPr>
        <w:t> </w:t>
      </w:r>
      <w:r>
        <w:rPr/>
        <w:t>protein.</w:t>
      </w:r>
    </w:p>
    <w:p>
      <w:pPr>
        <w:pStyle w:val="BodyText"/>
        <w:spacing w:line="360" w:lineRule="auto" w:before="199"/>
        <w:ind w:left="300" w:right="316"/>
        <w:jc w:val="both"/>
      </w:pPr>
      <w:r>
        <w:rPr>
          <w:b/>
        </w:rPr>
        <w:t>Principle: </w:t>
      </w:r>
      <w:r>
        <w:rPr/>
        <w:t>The affinity chromatography works on the principle of mutual recognition forces between a ligand and receptor. The major determinants, responsible to provide specificity are shape complementarity, electrostatic, hydrogen bonding, vander waal interaction between the groups present on the ligand-receptor pair (Figure 34.1). A mutual interaction between a ligand (L) and receptor (R) forms ligand-receptor complex (RL) with a dissociation constant Kd, which is expressed as follows-</w:t>
      </w:r>
    </w:p>
    <w:p>
      <w:pPr>
        <w:pStyle w:val="Heading4"/>
        <w:spacing w:before="210"/>
        <w:ind w:left="601" w:right="617"/>
        <w:jc w:val="center"/>
      </w:pPr>
      <w:r>
        <w:rPr/>
        <w:t>R + L </w:t>
      </w:r>
      <w:r>
        <w:rPr>
          <w:rFonts w:ascii="DejaVu Serif" w:hAnsi="DejaVu Serif"/>
        </w:rPr>
        <w:t>⇋ </w:t>
      </w:r>
      <w:r>
        <w:rPr/>
        <w:t>RL</w:t>
      </w:r>
    </w:p>
    <w:p>
      <w:pPr>
        <w:pStyle w:val="BodyText"/>
        <w:rPr>
          <w:b/>
          <w:sz w:val="28"/>
        </w:rPr>
      </w:pPr>
    </w:p>
    <w:p>
      <w:pPr>
        <w:spacing w:line="156" w:lineRule="auto" w:before="169"/>
        <w:ind w:left="3028" w:right="2261" w:hanging="780"/>
        <w:jc w:val="left"/>
        <w:rPr>
          <w:rFonts w:ascii="Symbola" w:hAnsi="Symbola" w:eastAsia="Symbola"/>
          <w:sz w:val="17"/>
        </w:rPr>
      </w:pPr>
      <w:r>
        <w:rPr/>
        <w:pict>
          <v:rect style="position:absolute;margin-left:223.440002pt;margin-top:11.891028pt;width:22.44pt;height:.841pt;mso-position-horizontal-relative:page;mso-position-vertical-relative:paragraph;z-index:-18369536" filled="true" fillcolor="#000000" stroked="false">
            <v:fill type="solid"/>
            <w10:wrap type="none"/>
          </v:rect>
        </w:pict>
      </w:r>
      <w:r>
        <w:rPr>
          <w:rFonts w:ascii="Symbola" w:hAnsi="Symbola" w:eastAsia="Symbola"/>
          <w:w w:val="105"/>
          <w:sz w:val="24"/>
        </w:rPr>
        <w:t>𝐊𝐝 = </w:t>
      </w:r>
      <w:r>
        <w:rPr>
          <w:rFonts w:ascii="Symbola" w:hAnsi="Symbola" w:eastAsia="Symbola"/>
          <w:w w:val="105"/>
          <w:sz w:val="24"/>
          <w:vertAlign w:val="superscript"/>
        </w:rPr>
        <w:t>[𝐑][𝐋]</w:t>
      </w:r>
      <w:r>
        <w:rPr>
          <w:b/>
          <w:w w:val="105"/>
          <w:sz w:val="24"/>
          <w:vertAlign w:val="baseline"/>
        </w:rPr>
        <w:t>……………………………...33.1 </w:t>
      </w:r>
      <w:r>
        <w:rPr>
          <w:rFonts w:ascii="Symbola" w:hAnsi="Symbola" w:eastAsia="Symbola"/>
          <w:w w:val="105"/>
          <w:sz w:val="17"/>
          <w:vertAlign w:val="baseline"/>
        </w:rPr>
        <w:t>[𝐑𝐋]</w:t>
      </w:r>
    </w:p>
    <w:p>
      <w:pPr>
        <w:spacing w:after="0" w:line="156" w:lineRule="auto"/>
        <w:jc w:val="left"/>
        <w:rPr>
          <w:rFonts w:ascii="Symbola" w:hAnsi="Symbola" w:eastAsia="Symbola"/>
          <w:sz w:val="17"/>
        </w:rPr>
        <w:sectPr>
          <w:pgSz w:w="11910" w:h="16840"/>
          <w:pgMar w:header="722" w:footer="748" w:top="1300" w:bottom="940" w:left="1500" w:right="1480"/>
        </w:sectPr>
      </w:pPr>
    </w:p>
    <w:p>
      <w:pPr>
        <w:pStyle w:val="BodyText"/>
        <w:spacing w:line="360" w:lineRule="auto" w:before="119"/>
        <w:ind w:left="299" w:right="315"/>
        <w:jc w:val="both"/>
      </w:pPr>
      <w:r>
        <w:rPr/>
        <w:t>Dissociation constant is specific to the receptor-ligand pair and number of interaction between them. when a crude mixture is passed through an affinity column, the receptor present on the matrix reacts with the ligand present on different molecules. The mutual collision between receptor on matrix and ligands from different molecule test the affinity between them and consequently the best choice bind to the receptor where as all other molecules do not bind and appear in flow through. A wash step removes remaining weakly bound molecules on matrix. Subsquently, a counter ligand is used to elute the bound molecule through a competition between the matrix bound molecule and counter ligand (Figure</w:t>
      </w:r>
      <w:r>
        <w:rPr>
          <w:spacing w:val="-4"/>
        </w:rPr>
        <w:t> </w:t>
      </w:r>
      <w:r>
        <w:rPr/>
        <w:t>34.2).</w:t>
      </w:r>
    </w:p>
    <w:p>
      <w:pPr>
        <w:pStyle w:val="BodyText"/>
        <w:spacing w:before="7"/>
        <w:rPr>
          <w:sz w:val="14"/>
        </w:rPr>
      </w:pPr>
      <w:r>
        <w:rPr/>
        <w:drawing>
          <wp:anchor distT="0" distB="0" distL="0" distR="0" allowOverlap="1" layoutInCell="1" locked="0" behindDoc="0" simplePos="0" relativeHeight="332">
            <wp:simplePos x="0" y="0"/>
            <wp:positionH relativeFrom="page">
              <wp:posOffset>1380578</wp:posOffset>
            </wp:positionH>
            <wp:positionV relativeFrom="paragraph">
              <wp:posOffset>131462</wp:posOffset>
            </wp:positionV>
            <wp:extent cx="4820707" cy="1798320"/>
            <wp:effectExtent l="0" t="0" r="0" b="0"/>
            <wp:wrapTopAndBottom/>
            <wp:docPr id="353" name="image181.png"/>
            <wp:cNvGraphicFramePr>
              <a:graphicFrameLocks noChangeAspect="1"/>
            </wp:cNvGraphicFramePr>
            <a:graphic>
              <a:graphicData uri="http://schemas.openxmlformats.org/drawingml/2006/picture">
                <pic:pic>
                  <pic:nvPicPr>
                    <pic:cNvPr id="354" name="image181.png"/>
                    <pic:cNvPicPr/>
                  </pic:nvPicPr>
                  <pic:blipFill>
                    <a:blip r:embed="rId195" cstate="print"/>
                    <a:stretch>
                      <a:fillRect/>
                    </a:stretch>
                  </pic:blipFill>
                  <pic:spPr>
                    <a:xfrm>
                      <a:off x="0" y="0"/>
                      <a:ext cx="4820707" cy="1798320"/>
                    </a:xfrm>
                    <a:prstGeom prst="rect">
                      <a:avLst/>
                    </a:prstGeom>
                  </pic:spPr>
                </pic:pic>
              </a:graphicData>
            </a:graphic>
          </wp:anchor>
        </w:drawing>
      </w:r>
    </w:p>
    <w:p>
      <w:pPr>
        <w:pStyle w:val="BodyText"/>
        <w:spacing w:before="3"/>
        <w:rPr>
          <w:sz w:val="28"/>
        </w:rPr>
      </w:pPr>
    </w:p>
    <w:p>
      <w:pPr>
        <w:spacing w:before="0"/>
        <w:ind w:left="601" w:right="617" w:firstLine="0"/>
        <w:jc w:val="center"/>
        <w:rPr>
          <w:b/>
          <w:sz w:val="16"/>
        </w:rPr>
      </w:pPr>
      <w:r>
        <w:rPr>
          <w:b/>
          <w:sz w:val="16"/>
        </w:rPr>
        <w:t>Figure 34.1: Interactions playing crucial role in providing specificity.</w:t>
      </w:r>
    </w:p>
    <w:p>
      <w:pPr>
        <w:pStyle w:val="BodyText"/>
        <w:rPr>
          <w:b/>
          <w:sz w:val="18"/>
        </w:rPr>
      </w:pPr>
    </w:p>
    <w:p>
      <w:pPr>
        <w:pStyle w:val="BodyText"/>
        <w:rPr>
          <w:b/>
          <w:sz w:val="19"/>
        </w:rPr>
      </w:pPr>
    </w:p>
    <w:p>
      <w:pPr>
        <w:pStyle w:val="Heading4"/>
        <w:ind w:left="360"/>
      </w:pPr>
      <w:r>
        <w:rPr/>
        <w:t>Advantages of Affinity chromatography-</w:t>
      </w:r>
    </w:p>
    <w:p>
      <w:pPr>
        <w:pStyle w:val="BodyText"/>
        <w:rPr>
          <w:b/>
          <w:sz w:val="29"/>
        </w:rPr>
      </w:pPr>
    </w:p>
    <w:p>
      <w:pPr>
        <w:pStyle w:val="ListParagraph"/>
        <w:numPr>
          <w:ilvl w:val="0"/>
          <w:numId w:val="39"/>
        </w:numPr>
        <w:tabs>
          <w:tab w:pos="576" w:val="left" w:leader="none"/>
        </w:tabs>
        <w:spacing w:line="360" w:lineRule="auto" w:before="0" w:after="0"/>
        <w:ind w:left="300" w:right="315" w:firstLine="0"/>
        <w:jc w:val="both"/>
        <w:rPr>
          <w:sz w:val="24"/>
        </w:rPr>
      </w:pPr>
      <w:r>
        <w:rPr>
          <w:b/>
          <w:sz w:val="24"/>
        </w:rPr>
        <w:t>Specificity: </w:t>
      </w:r>
      <w:r>
        <w:rPr>
          <w:sz w:val="24"/>
        </w:rPr>
        <w:t>Affinity chromatography is specific to the analyte in comparison to other purification technique which are utilizing molecular size, charge, hydrophobic patches or isoelectric point</w:t>
      </w:r>
      <w:r>
        <w:rPr>
          <w:spacing w:val="-3"/>
          <w:sz w:val="24"/>
        </w:rPr>
        <w:t> </w:t>
      </w:r>
      <w:r>
        <w:rPr>
          <w:sz w:val="24"/>
        </w:rPr>
        <w:t>etc.</w:t>
      </w:r>
    </w:p>
    <w:p>
      <w:pPr>
        <w:pStyle w:val="ListParagraph"/>
        <w:numPr>
          <w:ilvl w:val="0"/>
          <w:numId w:val="39"/>
        </w:numPr>
        <w:tabs>
          <w:tab w:pos="576" w:val="left" w:leader="none"/>
        </w:tabs>
        <w:spacing w:line="360" w:lineRule="auto" w:before="201" w:after="0"/>
        <w:ind w:left="300" w:right="313" w:firstLine="0"/>
        <w:jc w:val="both"/>
        <w:rPr>
          <w:sz w:val="24"/>
        </w:rPr>
      </w:pPr>
      <w:r>
        <w:rPr>
          <w:b/>
          <w:sz w:val="24"/>
        </w:rPr>
        <w:t>Purification Yield: </w:t>
      </w:r>
      <w:r>
        <w:rPr>
          <w:sz w:val="24"/>
        </w:rPr>
        <w:t>Compared to other purification method, affinity purification gives very high level of purification fold with high yield. In a typical affinity purification more than 90% recovery is</w:t>
      </w:r>
      <w:r>
        <w:rPr>
          <w:spacing w:val="-8"/>
          <w:sz w:val="24"/>
        </w:rPr>
        <w:t> </w:t>
      </w:r>
      <w:r>
        <w:rPr>
          <w:sz w:val="24"/>
        </w:rPr>
        <w:t>possible.</w:t>
      </w:r>
    </w:p>
    <w:p>
      <w:pPr>
        <w:pStyle w:val="ListParagraph"/>
        <w:numPr>
          <w:ilvl w:val="0"/>
          <w:numId w:val="39"/>
        </w:numPr>
        <w:tabs>
          <w:tab w:pos="586" w:val="left" w:leader="none"/>
        </w:tabs>
        <w:spacing w:line="360" w:lineRule="auto" w:before="200" w:after="0"/>
        <w:ind w:left="300" w:right="318" w:firstLine="0"/>
        <w:jc w:val="both"/>
        <w:rPr>
          <w:sz w:val="24"/>
        </w:rPr>
      </w:pPr>
      <w:r>
        <w:rPr>
          <w:b/>
          <w:sz w:val="24"/>
        </w:rPr>
        <w:t>Reproducible: </w:t>
      </w:r>
      <w:r>
        <w:rPr>
          <w:sz w:val="24"/>
        </w:rPr>
        <w:t>Affinity purification is reproducible and gives consistent results from one purification to other as long as it is independent to the presence of contaminating</w:t>
      </w:r>
      <w:r>
        <w:rPr>
          <w:spacing w:val="-4"/>
          <w:sz w:val="24"/>
        </w:rPr>
        <w:t> </w:t>
      </w:r>
      <w:r>
        <w:rPr>
          <w:sz w:val="24"/>
        </w:rPr>
        <w:t>species.</w:t>
      </w:r>
    </w:p>
    <w:p>
      <w:pPr>
        <w:pStyle w:val="ListParagraph"/>
        <w:numPr>
          <w:ilvl w:val="0"/>
          <w:numId w:val="39"/>
        </w:numPr>
        <w:tabs>
          <w:tab w:pos="581" w:val="left" w:leader="none"/>
        </w:tabs>
        <w:spacing w:line="360" w:lineRule="auto" w:before="201" w:after="0"/>
        <w:ind w:left="300" w:right="316" w:firstLine="0"/>
        <w:jc w:val="both"/>
        <w:rPr>
          <w:sz w:val="24"/>
        </w:rPr>
      </w:pPr>
      <w:r>
        <w:rPr>
          <w:b/>
          <w:sz w:val="24"/>
        </w:rPr>
        <w:t>Easy to perform: </w:t>
      </w:r>
      <w:r>
        <w:rPr>
          <w:sz w:val="24"/>
        </w:rPr>
        <w:t>Affinity purification is very robust and it depends on force governing ligand-receptor complex formation. Compared to other techniques,</w:t>
      </w:r>
      <w:r>
        <w:rPr>
          <w:spacing w:val="53"/>
          <w:sz w:val="24"/>
        </w:rPr>
        <w:t> </w:t>
      </w:r>
      <w:r>
        <w:rPr>
          <w:sz w:val="24"/>
        </w:rPr>
        <w:t>no</w:t>
      </w:r>
    </w:p>
    <w:p>
      <w:pPr>
        <w:spacing w:after="0" w:line="360" w:lineRule="auto"/>
        <w:jc w:val="both"/>
        <w:rPr>
          <w:sz w:val="24"/>
        </w:rPr>
        <w:sectPr>
          <w:pgSz w:w="11910" w:h="16840"/>
          <w:pgMar w:header="722" w:footer="748" w:top="1300" w:bottom="940" w:left="1500" w:right="1480"/>
        </w:sectPr>
      </w:pPr>
    </w:p>
    <w:p>
      <w:pPr>
        <w:pStyle w:val="BodyText"/>
        <w:spacing w:line="360" w:lineRule="auto" w:before="119"/>
        <w:ind w:left="300" w:right="319"/>
        <w:jc w:val="both"/>
      </w:pPr>
      <w:r>
        <w:rPr/>
        <w:t>column packing, no special purification system and sample preparation required for affinity purification.</w:t>
      </w:r>
    </w:p>
    <w:p>
      <w:pPr>
        <w:pStyle w:val="BodyText"/>
        <w:spacing w:before="7"/>
        <w:rPr>
          <w:sz w:val="14"/>
        </w:rPr>
      </w:pPr>
      <w:r>
        <w:rPr/>
        <w:drawing>
          <wp:anchor distT="0" distB="0" distL="0" distR="0" allowOverlap="1" layoutInCell="1" locked="0" behindDoc="0" simplePos="0" relativeHeight="333">
            <wp:simplePos x="0" y="0"/>
            <wp:positionH relativeFrom="page">
              <wp:posOffset>1143476</wp:posOffset>
            </wp:positionH>
            <wp:positionV relativeFrom="paragraph">
              <wp:posOffset>131433</wp:posOffset>
            </wp:positionV>
            <wp:extent cx="5198954" cy="3304032"/>
            <wp:effectExtent l="0" t="0" r="0" b="0"/>
            <wp:wrapTopAndBottom/>
            <wp:docPr id="355" name="image182.png"/>
            <wp:cNvGraphicFramePr>
              <a:graphicFrameLocks noChangeAspect="1"/>
            </wp:cNvGraphicFramePr>
            <a:graphic>
              <a:graphicData uri="http://schemas.openxmlformats.org/drawingml/2006/picture">
                <pic:pic>
                  <pic:nvPicPr>
                    <pic:cNvPr id="356" name="image182.png"/>
                    <pic:cNvPicPr/>
                  </pic:nvPicPr>
                  <pic:blipFill>
                    <a:blip r:embed="rId196" cstate="print"/>
                    <a:stretch>
                      <a:fillRect/>
                    </a:stretch>
                  </pic:blipFill>
                  <pic:spPr>
                    <a:xfrm>
                      <a:off x="0" y="0"/>
                      <a:ext cx="5198954" cy="3304032"/>
                    </a:xfrm>
                    <a:prstGeom prst="rect">
                      <a:avLst/>
                    </a:prstGeom>
                  </pic:spPr>
                </pic:pic>
              </a:graphicData>
            </a:graphic>
          </wp:anchor>
        </w:drawing>
      </w:r>
    </w:p>
    <w:p>
      <w:pPr>
        <w:pStyle w:val="BodyText"/>
        <w:spacing w:before="11"/>
        <w:rPr>
          <w:sz w:val="27"/>
        </w:rPr>
      </w:pPr>
    </w:p>
    <w:p>
      <w:pPr>
        <w:spacing w:before="0"/>
        <w:ind w:left="598" w:right="617" w:firstLine="0"/>
        <w:jc w:val="center"/>
        <w:rPr>
          <w:b/>
          <w:sz w:val="16"/>
        </w:rPr>
      </w:pPr>
      <w:r>
        <w:rPr>
          <w:b/>
          <w:sz w:val="16"/>
        </w:rPr>
        <w:t>Figure 34.2: Principle of affinity chromatography.</w:t>
      </w:r>
    </w:p>
    <w:p>
      <w:pPr>
        <w:pStyle w:val="BodyText"/>
        <w:rPr>
          <w:b/>
          <w:sz w:val="18"/>
        </w:rPr>
      </w:pPr>
    </w:p>
    <w:p>
      <w:pPr>
        <w:pStyle w:val="BodyText"/>
        <w:spacing w:before="6"/>
        <w:rPr>
          <w:b/>
          <w:sz w:val="18"/>
        </w:rPr>
      </w:pPr>
    </w:p>
    <w:p>
      <w:pPr>
        <w:pStyle w:val="BodyText"/>
        <w:spacing w:line="360" w:lineRule="auto" w:before="1"/>
        <w:ind w:left="299" w:right="313"/>
        <w:jc w:val="both"/>
      </w:pPr>
      <w:r>
        <w:rPr>
          <w:b/>
        </w:rPr>
        <w:t>Different types of affinity chromatography: </w:t>
      </w:r>
      <w:r>
        <w:rPr/>
        <w:t>Affinity chromatography is further divided into the different types based on the nature of receptor present on matrix to binds tag present on the analyte molecule. Different types of affinity chromatography are-</w:t>
      </w:r>
    </w:p>
    <w:p>
      <w:pPr>
        <w:pStyle w:val="BodyText"/>
        <w:spacing w:line="360" w:lineRule="auto" w:before="199"/>
        <w:ind w:left="300" w:right="313"/>
        <w:jc w:val="both"/>
      </w:pPr>
      <w:r>
        <w:rPr>
          <w:b/>
        </w:rPr>
        <w:t>Bio-affinity chromatography- </w:t>
      </w:r>
      <w:r>
        <w:rPr/>
        <w:t>In this type of affinity chromatography, biomolecules are used as receptor present on matrix and it exploit the biological affinity phenomenon such as antibody-antigen. In addition, enzyme-substrate or enzyme- inhibitor is also belong to this class. Ex. GST-Glutathione.</w:t>
      </w:r>
    </w:p>
    <w:p>
      <w:pPr>
        <w:pStyle w:val="BodyText"/>
        <w:spacing w:line="360" w:lineRule="auto" w:before="202"/>
        <w:ind w:left="300" w:right="318"/>
        <w:jc w:val="both"/>
      </w:pPr>
      <w:r>
        <w:rPr>
          <w:b/>
        </w:rPr>
        <w:t>Pseudo-affinity chromatography-</w:t>
      </w:r>
      <w:r>
        <w:rPr/>
        <w:t>In this affinity chromatography, a non-biological molecule is used as receptor on matrix to exploit the separation and purification of biomolecules. There are two specific example to this class-</w:t>
      </w:r>
    </w:p>
    <w:p>
      <w:pPr>
        <w:pStyle w:val="ListParagraph"/>
        <w:numPr>
          <w:ilvl w:val="1"/>
          <w:numId w:val="39"/>
        </w:numPr>
        <w:tabs>
          <w:tab w:pos="627" w:val="left" w:leader="none"/>
        </w:tabs>
        <w:spacing w:line="360" w:lineRule="auto" w:before="200" w:after="0"/>
        <w:ind w:left="300" w:right="317" w:firstLine="0"/>
        <w:jc w:val="both"/>
        <w:rPr>
          <w:sz w:val="24"/>
        </w:rPr>
      </w:pPr>
      <w:r>
        <w:rPr>
          <w:b/>
          <w:sz w:val="24"/>
        </w:rPr>
        <w:t>Dye-affinity chromatography-</w:t>
      </w:r>
      <w:r>
        <w:rPr>
          <w:sz w:val="24"/>
        </w:rPr>
        <w:t>In this method, matrix is coupled to the reactive dye and the matrix bound dye has specificity towards a particular enzyme. For ex. Cibacron Blue F3G-A dye coupled to the dextran matrix has strong affinity towards dehydrogenases.</w:t>
      </w:r>
    </w:p>
    <w:p>
      <w:pPr>
        <w:spacing w:after="0" w:line="360" w:lineRule="auto"/>
        <w:jc w:val="both"/>
        <w:rPr>
          <w:sz w:val="24"/>
        </w:rPr>
        <w:sectPr>
          <w:pgSz w:w="11910" w:h="16840"/>
          <w:pgMar w:header="722" w:footer="748" w:top="1300" w:bottom="940" w:left="1500" w:right="1480"/>
        </w:sectPr>
      </w:pPr>
    </w:p>
    <w:p>
      <w:pPr>
        <w:pStyle w:val="BodyText"/>
        <w:rPr>
          <w:sz w:val="20"/>
        </w:rPr>
      </w:pPr>
    </w:p>
    <w:p>
      <w:pPr>
        <w:pStyle w:val="BodyText"/>
        <w:rPr>
          <w:sz w:val="20"/>
        </w:rPr>
      </w:pPr>
    </w:p>
    <w:p>
      <w:pPr>
        <w:pStyle w:val="BodyText"/>
        <w:spacing w:before="9"/>
        <w:rPr>
          <w:sz w:val="23"/>
        </w:rPr>
      </w:pPr>
    </w:p>
    <w:p>
      <w:pPr>
        <w:pStyle w:val="ListParagraph"/>
        <w:numPr>
          <w:ilvl w:val="1"/>
          <w:numId w:val="39"/>
        </w:numPr>
        <w:tabs>
          <w:tab w:pos="620" w:val="left" w:leader="none"/>
        </w:tabs>
        <w:spacing w:line="360" w:lineRule="auto" w:before="0" w:after="0"/>
        <w:ind w:left="300" w:right="315" w:firstLine="0"/>
        <w:jc w:val="both"/>
        <w:rPr>
          <w:sz w:val="24"/>
        </w:rPr>
      </w:pPr>
      <w:r>
        <w:rPr>
          <w:b/>
          <w:sz w:val="24"/>
        </w:rPr>
        <w:t>Metal-affinity chromatography-</w:t>
      </w:r>
      <w:r>
        <w:rPr>
          <w:sz w:val="24"/>
        </w:rPr>
        <w:t>In this method, transition metals such as Fe</w:t>
      </w:r>
      <w:r>
        <w:rPr>
          <w:sz w:val="24"/>
          <w:vertAlign w:val="superscript"/>
        </w:rPr>
        <w:t>2+</w:t>
      </w:r>
      <w:r>
        <w:rPr>
          <w:sz w:val="24"/>
          <w:vertAlign w:val="baseline"/>
        </w:rPr>
        <w:t>, Ni</w:t>
      </w:r>
      <w:r>
        <w:rPr>
          <w:sz w:val="24"/>
          <w:vertAlign w:val="superscript"/>
        </w:rPr>
        <w:t>2+</w:t>
      </w:r>
      <w:r>
        <w:rPr>
          <w:sz w:val="24"/>
          <w:vertAlign w:val="baseline"/>
        </w:rPr>
        <w:t> or Zn</w:t>
      </w:r>
      <w:r>
        <w:rPr>
          <w:sz w:val="24"/>
          <w:vertAlign w:val="superscript"/>
        </w:rPr>
        <w:t>2+</w:t>
      </w:r>
      <w:r>
        <w:rPr>
          <w:sz w:val="24"/>
          <w:vertAlign w:val="baseline"/>
        </w:rPr>
        <w:t> is coupled to the matrix and the matrix bound metal form multidentate complex with protein containing poly-his tag (6x His). The affinity of protein for matrix bound metal is different and these differences are been exploited in metal affinity chromatography to purify the</w:t>
      </w:r>
      <w:r>
        <w:rPr>
          <w:spacing w:val="-13"/>
          <w:sz w:val="24"/>
          <w:vertAlign w:val="baseline"/>
        </w:rPr>
        <w:t> </w:t>
      </w:r>
      <w:r>
        <w:rPr>
          <w:sz w:val="24"/>
          <w:vertAlign w:val="baseline"/>
        </w:rPr>
        <w:t>protein.</w:t>
      </w:r>
    </w:p>
    <w:p>
      <w:pPr>
        <w:pStyle w:val="BodyText"/>
        <w:spacing w:line="360" w:lineRule="auto" w:before="201"/>
        <w:ind w:left="299" w:right="317"/>
        <w:jc w:val="both"/>
      </w:pPr>
      <w:r>
        <w:rPr>
          <w:b/>
        </w:rPr>
        <w:t>Covalent chromatography- </w:t>
      </w:r>
      <w:r>
        <w:rPr/>
        <w:t>This is a different type of chromatography technique where binding of analyte to the matrix is not reversible as it involves the formation a covalent bond between functional group present on matrix and analyte. Thiol group (- SH) present on neighbouring residues of protein forms disulphide bond after  oxidation and under reducing environment, disulphide reversible broken back to free thiol group. The matrix in covalent chromatography has immobilized thio group which forms covalent linkage with the free thiol group containing protein present in the mixture (Figure 34.3). After a washing step to remove non-specifically bound protein, a mobile phase containing compound with reducing thio group is passed to elute the bound protein. The thio group containing compound present in mobile phase breaks the disulphide bond between protein and matrix thio group to release the protein in the mobile phase (Figure</w:t>
      </w:r>
      <w:r>
        <w:rPr>
          <w:spacing w:val="-5"/>
        </w:rPr>
        <w:t> </w:t>
      </w:r>
      <w:r>
        <w:rPr/>
        <w:t>34.3).</w:t>
      </w:r>
    </w:p>
    <w:p>
      <w:pPr>
        <w:pStyle w:val="BodyText"/>
        <w:spacing w:line="360" w:lineRule="auto" w:before="199"/>
        <w:ind w:left="300" w:right="315"/>
        <w:jc w:val="both"/>
      </w:pPr>
      <w:r>
        <w:rPr>
          <w:b/>
        </w:rPr>
        <w:t>Choice of matrix for Affinity chromatography- </w:t>
      </w:r>
      <w:r>
        <w:rPr/>
        <w:t>Different popular affinity matrix used for protein purification is given in Table 34.1. The choice of matrix solely depends on the affinity tag present on the recombinant protein produced after genetic engineering.</w:t>
      </w:r>
    </w:p>
    <w:p>
      <w:pPr>
        <w:pStyle w:val="BodyText"/>
        <w:spacing w:before="10"/>
        <w:rPr>
          <w:sz w:val="17"/>
        </w:rPr>
      </w:pPr>
    </w:p>
    <w:tbl>
      <w:tblPr>
        <w:tblW w:w="0" w:type="auto"/>
        <w:jc w:val="left"/>
        <w:tblInd w:w="2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49"/>
        <w:gridCol w:w="2695"/>
        <w:gridCol w:w="4841"/>
      </w:tblGrid>
      <w:tr>
        <w:trPr>
          <w:trHeight w:val="184" w:hRule="atLeast"/>
        </w:trPr>
        <w:tc>
          <w:tcPr>
            <w:tcW w:w="8385" w:type="dxa"/>
            <w:gridSpan w:val="3"/>
            <w:tcBorders>
              <w:top w:val="single" w:sz="4" w:space="0" w:color="000000"/>
              <w:bottom w:val="single" w:sz="4" w:space="0" w:color="000000"/>
            </w:tcBorders>
          </w:tcPr>
          <w:p>
            <w:pPr>
              <w:pStyle w:val="TableParagraph"/>
              <w:spacing w:line="164" w:lineRule="exact"/>
              <w:ind w:left="1824" w:right="1814"/>
              <w:jc w:val="center"/>
              <w:rPr>
                <w:b/>
                <w:sz w:val="16"/>
              </w:rPr>
            </w:pPr>
            <w:r>
              <w:rPr>
                <w:b/>
                <w:sz w:val="16"/>
              </w:rPr>
              <w:t>Table 34.1: Matrix containing receptor for ligand present on protein.</w:t>
            </w:r>
          </w:p>
        </w:tc>
      </w:tr>
      <w:tr>
        <w:trPr>
          <w:trHeight w:val="255" w:hRule="atLeast"/>
        </w:trPr>
        <w:tc>
          <w:tcPr>
            <w:tcW w:w="849" w:type="dxa"/>
            <w:tcBorders>
              <w:top w:val="single" w:sz="4" w:space="0" w:color="000000"/>
              <w:bottom w:val="single" w:sz="4" w:space="0" w:color="000000"/>
            </w:tcBorders>
          </w:tcPr>
          <w:p>
            <w:pPr>
              <w:pStyle w:val="TableParagraph"/>
              <w:spacing w:line="256" w:lineRule="exact"/>
              <w:ind w:left="116"/>
              <w:rPr>
                <w:b/>
                <w:sz w:val="24"/>
              </w:rPr>
            </w:pPr>
            <w:r>
              <w:rPr>
                <w:b/>
                <w:sz w:val="24"/>
              </w:rPr>
              <w:t>S.No.</w:t>
            </w:r>
          </w:p>
        </w:tc>
        <w:tc>
          <w:tcPr>
            <w:tcW w:w="2695" w:type="dxa"/>
            <w:tcBorders>
              <w:top w:val="single" w:sz="4" w:space="0" w:color="000000"/>
              <w:bottom w:val="single" w:sz="4" w:space="0" w:color="000000"/>
            </w:tcBorders>
          </w:tcPr>
          <w:p>
            <w:pPr>
              <w:pStyle w:val="TableParagraph"/>
              <w:spacing w:line="256" w:lineRule="exact"/>
              <w:ind w:left="186"/>
              <w:rPr>
                <w:b/>
                <w:sz w:val="24"/>
              </w:rPr>
            </w:pPr>
            <w:r>
              <w:rPr>
                <w:b/>
                <w:sz w:val="24"/>
              </w:rPr>
              <w:t>Receptor</w:t>
            </w:r>
          </w:p>
        </w:tc>
        <w:tc>
          <w:tcPr>
            <w:tcW w:w="4841" w:type="dxa"/>
            <w:tcBorders>
              <w:top w:val="single" w:sz="4" w:space="0" w:color="000000"/>
              <w:bottom w:val="single" w:sz="4" w:space="0" w:color="000000"/>
            </w:tcBorders>
          </w:tcPr>
          <w:p>
            <w:pPr>
              <w:pStyle w:val="TableParagraph"/>
              <w:spacing w:line="256" w:lineRule="exact"/>
              <w:ind w:left="191"/>
              <w:rPr>
                <w:b/>
                <w:sz w:val="24"/>
              </w:rPr>
            </w:pPr>
            <w:r>
              <w:rPr>
                <w:b/>
                <w:sz w:val="24"/>
              </w:rPr>
              <w:t>Affinity towards protein ligand</w:t>
            </w:r>
          </w:p>
        </w:tc>
      </w:tr>
      <w:tr>
        <w:trPr>
          <w:trHeight w:val="273" w:hRule="atLeast"/>
        </w:trPr>
        <w:tc>
          <w:tcPr>
            <w:tcW w:w="849" w:type="dxa"/>
            <w:tcBorders>
              <w:top w:val="single" w:sz="4" w:space="0" w:color="000000"/>
            </w:tcBorders>
          </w:tcPr>
          <w:p>
            <w:pPr>
              <w:pStyle w:val="TableParagraph"/>
              <w:spacing w:line="233" w:lineRule="exact"/>
              <w:ind w:left="116"/>
              <w:rPr>
                <w:sz w:val="24"/>
              </w:rPr>
            </w:pPr>
            <w:r>
              <w:rPr>
                <w:sz w:val="24"/>
              </w:rPr>
              <w:t>1</w:t>
            </w:r>
          </w:p>
        </w:tc>
        <w:tc>
          <w:tcPr>
            <w:tcW w:w="2695" w:type="dxa"/>
            <w:tcBorders>
              <w:top w:val="single" w:sz="4" w:space="0" w:color="000000"/>
            </w:tcBorders>
          </w:tcPr>
          <w:p>
            <w:pPr>
              <w:pStyle w:val="TableParagraph"/>
              <w:spacing w:line="233" w:lineRule="exact"/>
              <w:ind w:left="186"/>
              <w:rPr>
                <w:sz w:val="24"/>
              </w:rPr>
            </w:pPr>
            <w:r>
              <w:rPr>
                <w:sz w:val="24"/>
              </w:rPr>
              <w:t>5’AMP</w:t>
            </w:r>
          </w:p>
        </w:tc>
        <w:tc>
          <w:tcPr>
            <w:tcW w:w="4841" w:type="dxa"/>
            <w:tcBorders>
              <w:top w:val="single" w:sz="4" w:space="0" w:color="000000"/>
            </w:tcBorders>
          </w:tcPr>
          <w:p>
            <w:pPr>
              <w:pStyle w:val="TableParagraph"/>
              <w:spacing w:line="233" w:lineRule="exact"/>
              <w:ind w:left="191"/>
              <w:rPr>
                <w:sz w:val="24"/>
              </w:rPr>
            </w:pPr>
            <w:r>
              <w:rPr>
                <w:sz w:val="24"/>
              </w:rPr>
              <w:t>NAD</w:t>
            </w:r>
            <w:r>
              <w:rPr>
                <w:sz w:val="24"/>
                <w:vertAlign w:val="superscript"/>
              </w:rPr>
              <w:t>+</w:t>
            </w:r>
            <w:r>
              <w:rPr>
                <w:sz w:val="24"/>
                <w:vertAlign w:val="baseline"/>
              </w:rPr>
              <w:t>-dependent dehydrogenase</w:t>
            </w:r>
          </w:p>
        </w:tc>
      </w:tr>
      <w:tr>
        <w:trPr>
          <w:trHeight w:val="295" w:hRule="atLeast"/>
        </w:trPr>
        <w:tc>
          <w:tcPr>
            <w:tcW w:w="849" w:type="dxa"/>
          </w:tcPr>
          <w:p>
            <w:pPr>
              <w:pStyle w:val="TableParagraph"/>
              <w:spacing w:line="261" w:lineRule="exact" w:before="15"/>
              <w:ind w:left="116"/>
              <w:rPr>
                <w:sz w:val="24"/>
              </w:rPr>
            </w:pPr>
            <w:r>
              <w:rPr>
                <w:sz w:val="24"/>
              </w:rPr>
              <w:t>2</w:t>
            </w:r>
          </w:p>
        </w:tc>
        <w:tc>
          <w:tcPr>
            <w:tcW w:w="2695" w:type="dxa"/>
          </w:tcPr>
          <w:p>
            <w:pPr>
              <w:pStyle w:val="TableParagraph"/>
              <w:spacing w:line="261" w:lineRule="exact" w:before="15"/>
              <w:ind w:left="186"/>
              <w:rPr>
                <w:sz w:val="24"/>
              </w:rPr>
            </w:pPr>
            <w:r>
              <w:rPr>
                <w:sz w:val="24"/>
              </w:rPr>
              <w:t>2’5’-ADP</w:t>
            </w:r>
          </w:p>
        </w:tc>
        <w:tc>
          <w:tcPr>
            <w:tcW w:w="4841" w:type="dxa"/>
          </w:tcPr>
          <w:p>
            <w:pPr>
              <w:pStyle w:val="TableParagraph"/>
              <w:spacing w:line="261" w:lineRule="exact" w:before="15"/>
              <w:ind w:left="191"/>
              <w:rPr>
                <w:sz w:val="24"/>
              </w:rPr>
            </w:pPr>
            <w:r>
              <w:rPr>
                <w:sz w:val="24"/>
              </w:rPr>
              <w:t>NADP</w:t>
            </w:r>
            <w:r>
              <w:rPr>
                <w:sz w:val="24"/>
                <w:vertAlign w:val="superscript"/>
              </w:rPr>
              <w:t>+</w:t>
            </w:r>
            <w:r>
              <w:rPr>
                <w:sz w:val="24"/>
                <w:vertAlign w:val="baseline"/>
              </w:rPr>
              <w:t>-dependent dehydrogenase</w:t>
            </w:r>
          </w:p>
        </w:tc>
      </w:tr>
      <w:tr>
        <w:trPr>
          <w:trHeight w:val="275" w:hRule="atLeast"/>
        </w:trPr>
        <w:tc>
          <w:tcPr>
            <w:tcW w:w="849" w:type="dxa"/>
          </w:tcPr>
          <w:p>
            <w:pPr>
              <w:pStyle w:val="TableParagraph"/>
              <w:spacing w:line="256" w:lineRule="exact"/>
              <w:ind w:left="116"/>
              <w:rPr>
                <w:sz w:val="24"/>
              </w:rPr>
            </w:pPr>
            <w:r>
              <w:rPr>
                <w:sz w:val="24"/>
              </w:rPr>
              <w:t>3</w:t>
            </w:r>
          </w:p>
        </w:tc>
        <w:tc>
          <w:tcPr>
            <w:tcW w:w="2695" w:type="dxa"/>
          </w:tcPr>
          <w:p>
            <w:pPr>
              <w:pStyle w:val="TableParagraph"/>
              <w:spacing w:line="256" w:lineRule="exact"/>
              <w:ind w:left="186"/>
              <w:rPr>
                <w:sz w:val="24"/>
              </w:rPr>
            </w:pPr>
            <w:r>
              <w:rPr>
                <w:sz w:val="24"/>
              </w:rPr>
              <w:t>Avidin</w:t>
            </w:r>
          </w:p>
        </w:tc>
        <w:tc>
          <w:tcPr>
            <w:tcW w:w="4841" w:type="dxa"/>
          </w:tcPr>
          <w:p>
            <w:pPr>
              <w:pStyle w:val="TableParagraph"/>
              <w:spacing w:line="256" w:lineRule="exact"/>
              <w:ind w:left="191"/>
              <w:rPr>
                <w:sz w:val="24"/>
              </w:rPr>
            </w:pPr>
            <w:r>
              <w:rPr>
                <w:sz w:val="24"/>
              </w:rPr>
              <w:t>Biotin-containing enzymes</w:t>
            </w:r>
          </w:p>
        </w:tc>
      </w:tr>
      <w:tr>
        <w:trPr>
          <w:trHeight w:val="275" w:hRule="atLeast"/>
        </w:trPr>
        <w:tc>
          <w:tcPr>
            <w:tcW w:w="849" w:type="dxa"/>
          </w:tcPr>
          <w:p>
            <w:pPr>
              <w:pStyle w:val="TableParagraph"/>
              <w:spacing w:line="256" w:lineRule="exact"/>
              <w:ind w:left="116"/>
              <w:rPr>
                <w:sz w:val="24"/>
              </w:rPr>
            </w:pPr>
            <w:r>
              <w:rPr>
                <w:sz w:val="24"/>
              </w:rPr>
              <w:t>4</w:t>
            </w:r>
          </w:p>
        </w:tc>
        <w:tc>
          <w:tcPr>
            <w:tcW w:w="2695" w:type="dxa"/>
          </w:tcPr>
          <w:p>
            <w:pPr>
              <w:pStyle w:val="TableParagraph"/>
              <w:spacing w:line="256" w:lineRule="exact"/>
              <w:ind w:left="186"/>
              <w:rPr>
                <w:sz w:val="24"/>
              </w:rPr>
            </w:pPr>
            <w:r>
              <w:rPr>
                <w:sz w:val="24"/>
              </w:rPr>
              <w:t>Protein A and Protein G</w:t>
            </w:r>
          </w:p>
        </w:tc>
        <w:tc>
          <w:tcPr>
            <w:tcW w:w="4841" w:type="dxa"/>
          </w:tcPr>
          <w:p>
            <w:pPr>
              <w:pStyle w:val="TableParagraph"/>
              <w:spacing w:line="256" w:lineRule="exact"/>
              <w:ind w:left="191"/>
              <w:rPr>
                <w:sz w:val="24"/>
              </w:rPr>
            </w:pPr>
            <w:r>
              <w:rPr>
                <w:sz w:val="24"/>
              </w:rPr>
              <w:t>Immunoglobulin</w:t>
            </w:r>
          </w:p>
        </w:tc>
      </w:tr>
      <w:tr>
        <w:trPr>
          <w:trHeight w:val="276" w:hRule="atLeast"/>
        </w:trPr>
        <w:tc>
          <w:tcPr>
            <w:tcW w:w="849" w:type="dxa"/>
          </w:tcPr>
          <w:p>
            <w:pPr>
              <w:pStyle w:val="TableParagraph"/>
              <w:spacing w:line="256" w:lineRule="exact"/>
              <w:ind w:left="116"/>
              <w:rPr>
                <w:sz w:val="24"/>
              </w:rPr>
            </w:pPr>
            <w:r>
              <w:rPr>
                <w:sz w:val="24"/>
              </w:rPr>
              <w:t>5</w:t>
            </w:r>
          </w:p>
        </w:tc>
        <w:tc>
          <w:tcPr>
            <w:tcW w:w="2695" w:type="dxa"/>
          </w:tcPr>
          <w:p>
            <w:pPr>
              <w:pStyle w:val="TableParagraph"/>
              <w:spacing w:line="256" w:lineRule="exact"/>
              <w:ind w:left="186"/>
              <w:rPr>
                <w:sz w:val="24"/>
              </w:rPr>
            </w:pPr>
            <w:r>
              <w:rPr>
                <w:sz w:val="24"/>
              </w:rPr>
              <w:t>Concanavalin A</w:t>
            </w:r>
          </w:p>
        </w:tc>
        <w:tc>
          <w:tcPr>
            <w:tcW w:w="4841" w:type="dxa"/>
          </w:tcPr>
          <w:p>
            <w:pPr>
              <w:pStyle w:val="TableParagraph"/>
              <w:spacing w:line="256" w:lineRule="exact"/>
              <w:ind w:left="191"/>
              <w:rPr>
                <w:sz w:val="24"/>
              </w:rPr>
            </w:pPr>
            <w:r>
              <w:rPr>
                <w:sz w:val="24"/>
              </w:rPr>
              <w:t>Glycoprotein</w:t>
            </w:r>
          </w:p>
        </w:tc>
      </w:tr>
      <w:tr>
        <w:trPr>
          <w:trHeight w:val="276" w:hRule="atLeast"/>
        </w:trPr>
        <w:tc>
          <w:tcPr>
            <w:tcW w:w="849" w:type="dxa"/>
          </w:tcPr>
          <w:p>
            <w:pPr>
              <w:pStyle w:val="TableParagraph"/>
              <w:spacing w:line="256" w:lineRule="exact"/>
              <w:ind w:left="116"/>
              <w:rPr>
                <w:sz w:val="24"/>
              </w:rPr>
            </w:pPr>
            <w:r>
              <w:rPr>
                <w:sz w:val="24"/>
              </w:rPr>
              <w:t>6</w:t>
            </w:r>
          </w:p>
        </w:tc>
        <w:tc>
          <w:tcPr>
            <w:tcW w:w="2695" w:type="dxa"/>
          </w:tcPr>
          <w:p>
            <w:pPr>
              <w:pStyle w:val="TableParagraph"/>
              <w:spacing w:line="256" w:lineRule="exact"/>
              <w:ind w:left="186"/>
              <w:rPr>
                <w:sz w:val="24"/>
              </w:rPr>
            </w:pPr>
            <w:r>
              <w:rPr>
                <w:sz w:val="24"/>
              </w:rPr>
              <w:t>Poly-A</w:t>
            </w:r>
          </w:p>
        </w:tc>
        <w:tc>
          <w:tcPr>
            <w:tcW w:w="4841" w:type="dxa"/>
          </w:tcPr>
          <w:p>
            <w:pPr>
              <w:pStyle w:val="TableParagraph"/>
              <w:spacing w:line="256" w:lineRule="exact"/>
              <w:ind w:left="191"/>
              <w:rPr>
                <w:sz w:val="24"/>
              </w:rPr>
            </w:pPr>
            <w:r>
              <w:rPr>
                <w:sz w:val="24"/>
              </w:rPr>
              <w:t>Poly U mRNA</w:t>
            </w:r>
          </w:p>
        </w:tc>
      </w:tr>
      <w:tr>
        <w:trPr>
          <w:trHeight w:val="276" w:hRule="atLeast"/>
        </w:trPr>
        <w:tc>
          <w:tcPr>
            <w:tcW w:w="849" w:type="dxa"/>
          </w:tcPr>
          <w:p>
            <w:pPr>
              <w:pStyle w:val="TableParagraph"/>
              <w:spacing w:line="256" w:lineRule="exact"/>
              <w:ind w:left="116"/>
              <w:rPr>
                <w:sz w:val="24"/>
              </w:rPr>
            </w:pPr>
            <w:r>
              <w:rPr>
                <w:sz w:val="24"/>
              </w:rPr>
              <w:t>7</w:t>
            </w:r>
          </w:p>
        </w:tc>
        <w:tc>
          <w:tcPr>
            <w:tcW w:w="2695" w:type="dxa"/>
          </w:tcPr>
          <w:p>
            <w:pPr>
              <w:pStyle w:val="TableParagraph"/>
              <w:spacing w:line="256" w:lineRule="exact"/>
              <w:ind w:left="186"/>
              <w:rPr>
                <w:sz w:val="24"/>
              </w:rPr>
            </w:pPr>
            <w:r>
              <w:rPr>
                <w:sz w:val="24"/>
              </w:rPr>
              <w:t>Lysine</w:t>
            </w:r>
          </w:p>
        </w:tc>
        <w:tc>
          <w:tcPr>
            <w:tcW w:w="4841" w:type="dxa"/>
          </w:tcPr>
          <w:p>
            <w:pPr>
              <w:pStyle w:val="TableParagraph"/>
              <w:spacing w:line="256" w:lineRule="exact"/>
              <w:ind w:left="191"/>
              <w:rPr>
                <w:sz w:val="24"/>
              </w:rPr>
            </w:pPr>
            <w:r>
              <w:rPr>
                <w:sz w:val="24"/>
              </w:rPr>
              <w:t>rRNA</w:t>
            </w:r>
          </w:p>
        </w:tc>
      </w:tr>
      <w:tr>
        <w:trPr>
          <w:trHeight w:val="275" w:hRule="atLeast"/>
        </w:trPr>
        <w:tc>
          <w:tcPr>
            <w:tcW w:w="849" w:type="dxa"/>
          </w:tcPr>
          <w:p>
            <w:pPr>
              <w:pStyle w:val="TableParagraph"/>
              <w:spacing w:line="256" w:lineRule="exact"/>
              <w:ind w:left="116"/>
              <w:rPr>
                <w:sz w:val="24"/>
              </w:rPr>
            </w:pPr>
            <w:r>
              <w:rPr>
                <w:sz w:val="24"/>
              </w:rPr>
              <w:t>8</w:t>
            </w:r>
          </w:p>
        </w:tc>
        <w:tc>
          <w:tcPr>
            <w:tcW w:w="2695" w:type="dxa"/>
          </w:tcPr>
          <w:p>
            <w:pPr>
              <w:pStyle w:val="TableParagraph"/>
              <w:spacing w:line="256" w:lineRule="exact"/>
              <w:ind w:left="186"/>
              <w:rPr>
                <w:sz w:val="24"/>
              </w:rPr>
            </w:pPr>
            <w:r>
              <w:rPr>
                <w:sz w:val="24"/>
              </w:rPr>
              <w:t>Cibacron Blue F3GA</w:t>
            </w:r>
          </w:p>
        </w:tc>
        <w:tc>
          <w:tcPr>
            <w:tcW w:w="4841" w:type="dxa"/>
          </w:tcPr>
          <w:p>
            <w:pPr>
              <w:pStyle w:val="TableParagraph"/>
              <w:spacing w:line="256" w:lineRule="exact"/>
              <w:ind w:left="191"/>
              <w:rPr>
                <w:sz w:val="24"/>
              </w:rPr>
            </w:pPr>
            <w:r>
              <w:rPr>
                <w:sz w:val="24"/>
              </w:rPr>
              <w:t>NAD+ Containing dehydrogenase</w:t>
            </w:r>
          </w:p>
        </w:tc>
      </w:tr>
      <w:tr>
        <w:trPr>
          <w:trHeight w:val="276" w:hRule="atLeast"/>
        </w:trPr>
        <w:tc>
          <w:tcPr>
            <w:tcW w:w="849" w:type="dxa"/>
          </w:tcPr>
          <w:p>
            <w:pPr>
              <w:pStyle w:val="TableParagraph"/>
              <w:spacing w:line="256" w:lineRule="exact"/>
              <w:ind w:left="116"/>
              <w:rPr>
                <w:sz w:val="24"/>
              </w:rPr>
            </w:pPr>
            <w:r>
              <w:rPr>
                <w:sz w:val="24"/>
              </w:rPr>
              <w:t>9</w:t>
            </w:r>
          </w:p>
        </w:tc>
        <w:tc>
          <w:tcPr>
            <w:tcW w:w="2695" w:type="dxa"/>
          </w:tcPr>
          <w:p>
            <w:pPr>
              <w:pStyle w:val="TableParagraph"/>
              <w:spacing w:line="256" w:lineRule="exact"/>
              <w:ind w:left="186"/>
              <w:rPr>
                <w:sz w:val="24"/>
              </w:rPr>
            </w:pPr>
            <w:r>
              <w:rPr>
                <w:sz w:val="24"/>
              </w:rPr>
              <w:t>Lectin</w:t>
            </w:r>
          </w:p>
        </w:tc>
        <w:tc>
          <w:tcPr>
            <w:tcW w:w="4841" w:type="dxa"/>
          </w:tcPr>
          <w:p>
            <w:pPr>
              <w:pStyle w:val="TableParagraph"/>
              <w:spacing w:line="256" w:lineRule="exact"/>
              <w:ind w:left="191"/>
              <w:rPr>
                <w:sz w:val="24"/>
              </w:rPr>
            </w:pPr>
            <w:r>
              <w:rPr>
                <w:sz w:val="24"/>
              </w:rPr>
              <w:t>Glycoprotein</w:t>
            </w:r>
          </w:p>
        </w:tc>
      </w:tr>
      <w:tr>
        <w:trPr>
          <w:trHeight w:val="278" w:hRule="atLeast"/>
        </w:trPr>
        <w:tc>
          <w:tcPr>
            <w:tcW w:w="849" w:type="dxa"/>
            <w:tcBorders>
              <w:bottom w:val="single" w:sz="4" w:space="0" w:color="000000"/>
            </w:tcBorders>
          </w:tcPr>
          <w:p>
            <w:pPr>
              <w:pStyle w:val="TableParagraph"/>
              <w:spacing w:line="259" w:lineRule="exact"/>
              <w:ind w:left="116"/>
              <w:rPr>
                <w:sz w:val="24"/>
              </w:rPr>
            </w:pPr>
            <w:r>
              <w:rPr>
                <w:sz w:val="24"/>
              </w:rPr>
              <w:t>10</w:t>
            </w:r>
          </w:p>
        </w:tc>
        <w:tc>
          <w:tcPr>
            <w:tcW w:w="2695" w:type="dxa"/>
            <w:tcBorders>
              <w:bottom w:val="single" w:sz="4" w:space="0" w:color="000000"/>
            </w:tcBorders>
          </w:tcPr>
          <w:p>
            <w:pPr>
              <w:pStyle w:val="TableParagraph"/>
              <w:spacing w:line="259" w:lineRule="exact"/>
              <w:ind w:left="186"/>
              <w:rPr>
                <w:sz w:val="24"/>
              </w:rPr>
            </w:pPr>
            <w:r>
              <w:rPr>
                <w:sz w:val="24"/>
              </w:rPr>
              <w:t>Heparin</w:t>
            </w:r>
          </w:p>
        </w:tc>
        <w:tc>
          <w:tcPr>
            <w:tcW w:w="4841" w:type="dxa"/>
            <w:tcBorders>
              <w:bottom w:val="single" w:sz="4" w:space="0" w:color="000000"/>
            </w:tcBorders>
          </w:tcPr>
          <w:p>
            <w:pPr>
              <w:pStyle w:val="TableParagraph"/>
              <w:spacing w:line="259" w:lineRule="exact"/>
              <w:ind w:left="191"/>
              <w:rPr>
                <w:sz w:val="24"/>
              </w:rPr>
            </w:pPr>
            <w:r>
              <w:rPr>
                <w:sz w:val="24"/>
              </w:rPr>
              <w:t>DNA binding site</w:t>
            </w:r>
          </w:p>
        </w:tc>
      </w:tr>
    </w:tbl>
    <w:p>
      <w:pPr>
        <w:spacing w:after="0" w:line="259" w:lineRule="exact"/>
        <w:rPr>
          <w:sz w:val="24"/>
        </w:rPr>
        <w:sectPr>
          <w:pgSz w:w="11910" w:h="16840"/>
          <w:pgMar w:header="722" w:footer="748" w:top="1300" w:bottom="940" w:left="1500" w:right="1480"/>
        </w:sectPr>
      </w:pPr>
    </w:p>
    <w:p>
      <w:pPr>
        <w:pStyle w:val="BodyText"/>
        <w:spacing w:before="4"/>
        <w:rPr>
          <w:sz w:val="21"/>
        </w:rPr>
      </w:pPr>
    </w:p>
    <w:p>
      <w:pPr>
        <w:pStyle w:val="BodyText"/>
        <w:ind w:left="472"/>
        <w:rPr>
          <w:sz w:val="20"/>
        </w:rPr>
      </w:pPr>
      <w:r>
        <w:rPr>
          <w:sz w:val="20"/>
        </w:rPr>
        <w:drawing>
          <wp:inline distT="0" distB="0" distL="0" distR="0">
            <wp:extent cx="5065919" cy="2596896"/>
            <wp:effectExtent l="0" t="0" r="0" b="0"/>
            <wp:docPr id="357" name="image183.png"/>
            <wp:cNvGraphicFramePr>
              <a:graphicFrameLocks noChangeAspect="1"/>
            </wp:cNvGraphicFramePr>
            <a:graphic>
              <a:graphicData uri="http://schemas.openxmlformats.org/drawingml/2006/picture">
                <pic:pic>
                  <pic:nvPicPr>
                    <pic:cNvPr id="358" name="image183.png"/>
                    <pic:cNvPicPr/>
                  </pic:nvPicPr>
                  <pic:blipFill>
                    <a:blip r:embed="rId197" cstate="print"/>
                    <a:stretch>
                      <a:fillRect/>
                    </a:stretch>
                  </pic:blipFill>
                  <pic:spPr>
                    <a:xfrm>
                      <a:off x="0" y="0"/>
                      <a:ext cx="5065919" cy="2596896"/>
                    </a:xfrm>
                    <a:prstGeom prst="rect">
                      <a:avLst/>
                    </a:prstGeom>
                  </pic:spPr>
                </pic:pic>
              </a:graphicData>
            </a:graphic>
          </wp:inline>
        </w:drawing>
      </w:r>
      <w:r>
        <w:rPr>
          <w:sz w:val="20"/>
        </w:rPr>
      </w:r>
    </w:p>
    <w:p>
      <w:pPr>
        <w:spacing w:before="111"/>
        <w:ind w:left="601" w:right="617" w:firstLine="0"/>
        <w:jc w:val="center"/>
        <w:rPr>
          <w:b/>
          <w:sz w:val="16"/>
        </w:rPr>
      </w:pPr>
      <w:r>
        <w:rPr>
          <w:b/>
          <w:sz w:val="16"/>
        </w:rPr>
        <w:t>Figure 34.3: Principle of covalent chromatography.</w:t>
      </w:r>
    </w:p>
    <w:p>
      <w:pPr>
        <w:spacing w:after="0"/>
        <w:jc w:val="center"/>
        <w:rPr>
          <w:sz w:val="16"/>
        </w:rPr>
        <w:sectPr>
          <w:pgSz w:w="11910" w:h="16840"/>
          <w:pgMar w:header="722" w:footer="748" w:top="1300" w:bottom="940" w:left="1500" w:right="1480"/>
        </w:sectPr>
      </w:pPr>
    </w:p>
    <w:p>
      <w:pPr>
        <w:pStyle w:val="Heading2"/>
      </w:pPr>
      <w:r>
        <w:rPr/>
        <w:t>Lecture 35 Affinity Chromatography-II</w:t>
      </w:r>
    </w:p>
    <w:p>
      <w:pPr>
        <w:pStyle w:val="BodyText"/>
        <w:spacing w:line="360" w:lineRule="auto" w:before="251"/>
        <w:ind w:left="300" w:right="314"/>
        <w:jc w:val="both"/>
      </w:pPr>
      <w:r>
        <w:rPr>
          <w:b/>
        </w:rPr>
        <w:t>Generation of Receptor-</w:t>
      </w:r>
      <w:r>
        <w:rPr/>
        <w:t>The receptor molecule present on the matrix can be produced either by genetic engineering, isolation from the crude extract or in the case of antibody, it is produced in the mouse/rabbit model and purify. The generation of receptor molecule is beyond the discussion in the current lecture and interested student are advised to follow it from other relevant</w:t>
      </w:r>
      <w:r>
        <w:rPr>
          <w:spacing w:val="-4"/>
        </w:rPr>
        <w:t> </w:t>
      </w:r>
      <w:r>
        <w:rPr/>
        <w:t>course.</w:t>
      </w:r>
    </w:p>
    <w:p>
      <w:pPr>
        <w:pStyle w:val="BodyText"/>
        <w:spacing w:line="360" w:lineRule="auto" w:before="199"/>
        <w:ind w:left="300" w:right="315"/>
        <w:jc w:val="both"/>
      </w:pPr>
      <w:r>
        <w:rPr>
          <w:b/>
        </w:rPr>
        <w:t>Coupling of the Receptor-</w:t>
      </w:r>
      <w:r>
        <w:rPr/>
        <w:t>Once the receptor molecule is available, it can be couple to the matrix by following steps. (1) Matrix activation (2) covalent coupling utilizing reactive group on ligand. (3) deactivation of the remaining active group on</w:t>
      </w:r>
      <w:r>
        <w:rPr>
          <w:spacing w:val="-8"/>
        </w:rPr>
        <w:t> </w:t>
      </w:r>
      <w:r>
        <w:rPr/>
        <w:t>matrix.</w:t>
      </w:r>
    </w:p>
    <w:p>
      <w:pPr>
        <w:pStyle w:val="BodyText"/>
        <w:spacing w:line="360" w:lineRule="auto" w:before="200"/>
        <w:ind w:left="299" w:right="316"/>
        <w:jc w:val="both"/>
      </w:pPr>
      <w:r>
        <w:rPr>
          <w:b/>
        </w:rPr>
        <w:t>CNBr mediated receptor coupling-</w:t>
      </w:r>
      <w:r>
        <w:rPr/>
        <w:t>CNBr mediated coupling is more suitable for protein/peptide to the polysaccharide matrix such as agarose or dextran. CNBr reacts with polysaccharide at pH 11-12 to form reactive cynate ester with matrix or less reactive cyclic imidocarbonate group. Under alkaline condition these cynogen ester reacts with the amine group on receptor to form isourea derivative (Figure 35.1). The amount of cynate ester is more with agarose whereas imidacarbonate is more formed with dextran as a matrix. The protein or peptide ligand with free amino group is added to the activated matrix to couple the receptor for affinity purification.</w:t>
      </w:r>
    </w:p>
    <w:p>
      <w:pPr>
        <w:pStyle w:val="BodyText"/>
        <w:rPr>
          <w:sz w:val="20"/>
        </w:rPr>
      </w:pPr>
    </w:p>
    <w:p>
      <w:pPr>
        <w:pStyle w:val="BodyText"/>
        <w:rPr>
          <w:sz w:val="20"/>
        </w:rPr>
      </w:pPr>
    </w:p>
    <w:p>
      <w:pPr>
        <w:pStyle w:val="BodyText"/>
        <w:rPr>
          <w:sz w:val="28"/>
        </w:rPr>
      </w:pPr>
      <w:r>
        <w:rPr/>
        <w:drawing>
          <wp:anchor distT="0" distB="0" distL="0" distR="0" allowOverlap="1" layoutInCell="1" locked="0" behindDoc="0" simplePos="0" relativeHeight="334">
            <wp:simplePos x="0" y="0"/>
            <wp:positionH relativeFrom="page">
              <wp:posOffset>1383741</wp:posOffset>
            </wp:positionH>
            <wp:positionV relativeFrom="paragraph">
              <wp:posOffset>229250</wp:posOffset>
            </wp:positionV>
            <wp:extent cx="4798337" cy="2609088"/>
            <wp:effectExtent l="0" t="0" r="0" b="0"/>
            <wp:wrapTopAndBottom/>
            <wp:docPr id="359" name="image184.png"/>
            <wp:cNvGraphicFramePr>
              <a:graphicFrameLocks noChangeAspect="1"/>
            </wp:cNvGraphicFramePr>
            <a:graphic>
              <a:graphicData uri="http://schemas.openxmlformats.org/drawingml/2006/picture">
                <pic:pic>
                  <pic:nvPicPr>
                    <pic:cNvPr id="360" name="image184.png"/>
                    <pic:cNvPicPr/>
                  </pic:nvPicPr>
                  <pic:blipFill>
                    <a:blip r:embed="rId198" cstate="print"/>
                    <a:stretch>
                      <a:fillRect/>
                    </a:stretch>
                  </pic:blipFill>
                  <pic:spPr>
                    <a:xfrm>
                      <a:off x="0" y="0"/>
                      <a:ext cx="4798337" cy="2609088"/>
                    </a:xfrm>
                    <a:prstGeom prst="rect">
                      <a:avLst/>
                    </a:prstGeom>
                  </pic:spPr>
                </pic:pic>
              </a:graphicData>
            </a:graphic>
          </wp:anchor>
        </w:drawing>
      </w:r>
    </w:p>
    <w:p>
      <w:pPr>
        <w:spacing w:before="84"/>
        <w:ind w:left="601" w:right="617" w:firstLine="0"/>
        <w:jc w:val="center"/>
        <w:rPr>
          <w:b/>
          <w:sz w:val="16"/>
        </w:rPr>
      </w:pPr>
      <w:r>
        <w:rPr>
          <w:b/>
          <w:sz w:val="16"/>
        </w:rPr>
        <w:t>Figure 35.1: CNBr mediated coupling of receptor to the matrix.</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7"/>
        <w:jc w:val="both"/>
      </w:pPr>
      <w:r>
        <w:rPr>
          <w:b/>
        </w:rPr>
        <w:t>Epichlorohydrin mediated receptor coupling- </w:t>
      </w:r>
      <w:r>
        <w:rPr/>
        <w:t>Epichlorohydrin activates the polysaccharide matrix by adding oxirane group with a 3 carbon alchol group (propanol) spacer arm (Figure 35.2). Activated matrix reacts with the receptors containing primary amine or thiol group. Receptor are couple to the matrix by a thioester or a secondary amine linkage. It can be able to couple hydroxyl group containing receptor molecule as well as by a ether linkage.</w:t>
      </w:r>
    </w:p>
    <w:p>
      <w:pPr>
        <w:pStyle w:val="BodyText"/>
        <w:spacing w:before="6"/>
        <w:rPr>
          <w:sz w:val="14"/>
        </w:rPr>
      </w:pPr>
      <w:r>
        <w:rPr/>
        <w:drawing>
          <wp:anchor distT="0" distB="0" distL="0" distR="0" allowOverlap="1" layoutInCell="1" locked="0" behindDoc="0" simplePos="0" relativeHeight="335">
            <wp:simplePos x="0" y="0"/>
            <wp:positionH relativeFrom="page">
              <wp:posOffset>1157119</wp:posOffset>
            </wp:positionH>
            <wp:positionV relativeFrom="paragraph">
              <wp:posOffset>131420</wp:posOffset>
            </wp:positionV>
            <wp:extent cx="5255141" cy="2932176"/>
            <wp:effectExtent l="0" t="0" r="0" b="0"/>
            <wp:wrapTopAndBottom/>
            <wp:docPr id="361" name="image185.png"/>
            <wp:cNvGraphicFramePr>
              <a:graphicFrameLocks noChangeAspect="1"/>
            </wp:cNvGraphicFramePr>
            <a:graphic>
              <a:graphicData uri="http://schemas.openxmlformats.org/drawingml/2006/picture">
                <pic:pic>
                  <pic:nvPicPr>
                    <pic:cNvPr id="362" name="image185.png"/>
                    <pic:cNvPicPr/>
                  </pic:nvPicPr>
                  <pic:blipFill>
                    <a:blip r:embed="rId199" cstate="print"/>
                    <a:stretch>
                      <a:fillRect/>
                    </a:stretch>
                  </pic:blipFill>
                  <pic:spPr>
                    <a:xfrm>
                      <a:off x="0" y="0"/>
                      <a:ext cx="5255141" cy="2932176"/>
                    </a:xfrm>
                    <a:prstGeom prst="rect">
                      <a:avLst/>
                    </a:prstGeom>
                  </pic:spPr>
                </pic:pic>
              </a:graphicData>
            </a:graphic>
          </wp:anchor>
        </w:drawing>
      </w:r>
    </w:p>
    <w:p>
      <w:pPr>
        <w:pStyle w:val="BodyText"/>
        <w:spacing w:before="4"/>
        <w:rPr>
          <w:sz w:val="36"/>
        </w:rPr>
      </w:pPr>
    </w:p>
    <w:p>
      <w:pPr>
        <w:spacing w:before="0"/>
        <w:ind w:left="601" w:right="617" w:firstLine="0"/>
        <w:jc w:val="center"/>
        <w:rPr>
          <w:b/>
          <w:sz w:val="16"/>
        </w:rPr>
      </w:pPr>
      <w:r>
        <w:rPr>
          <w:b/>
          <w:sz w:val="16"/>
        </w:rPr>
        <w:t>Figure 35.2: Epichlorohydrin mediated coupling of receptor to the matrix.</w:t>
      </w:r>
    </w:p>
    <w:p>
      <w:pPr>
        <w:pStyle w:val="BodyText"/>
        <w:rPr>
          <w:b/>
          <w:sz w:val="18"/>
        </w:rPr>
      </w:pPr>
    </w:p>
    <w:p>
      <w:pPr>
        <w:pStyle w:val="BodyText"/>
        <w:rPr>
          <w:b/>
          <w:sz w:val="18"/>
        </w:rPr>
      </w:pPr>
    </w:p>
    <w:p>
      <w:pPr>
        <w:pStyle w:val="BodyText"/>
        <w:rPr>
          <w:b/>
          <w:sz w:val="18"/>
        </w:rPr>
      </w:pPr>
    </w:p>
    <w:p>
      <w:pPr>
        <w:pStyle w:val="BodyText"/>
        <w:spacing w:line="360" w:lineRule="auto" w:before="111"/>
        <w:ind w:left="299" w:right="318"/>
        <w:jc w:val="both"/>
      </w:pPr>
      <w:r>
        <w:rPr>
          <w:b/>
        </w:rPr>
        <w:t>Carbodiimides mediated receptor coupling-</w:t>
      </w:r>
      <w:r>
        <w:rPr/>
        <w:t>Carboiimides reacts with the matrix containing carboxyl group to form isourea ester. The activated matrix is then allowed to react with the receptor molecule containing carboxyl or free amino group. Receptor are couple to the matrix by a secondary amine linkage.</w:t>
      </w:r>
    </w:p>
    <w:p>
      <w:pPr>
        <w:spacing w:after="0" w:line="360" w:lineRule="auto"/>
        <w:jc w:val="both"/>
        <w:sectPr>
          <w:pgSz w:w="11910" w:h="16840"/>
          <w:pgMar w:header="722" w:footer="748" w:top="1300" w:bottom="940" w:left="1500" w:right="1480"/>
        </w:sectPr>
      </w:pPr>
    </w:p>
    <w:p>
      <w:pPr>
        <w:pStyle w:val="BodyText"/>
        <w:spacing w:before="4"/>
        <w:rPr>
          <w:sz w:val="21"/>
        </w:rPr>
      </w:pPr>
    </w:p>
    <w:p>
      <w:pPr>
        <w:pStyle w:val="BodyText"/>
        <w:ind w:left="334"/>
        <w:rPr>
          <w:sz w:val="20"/>
        </w:rPr>
      </w:pPr>
      <w:r>
        <w:rPr>
          <w:sz w:val="20"/>
        </w:rPr>
        <w:drawing>
          <wp:inline distT="0" distB="0" distL="0" distR="0">
            <wp:extent cx="5233341" cy="2950463"/>
            <wp:effectExtent l="0" t="0" r="0" b="0"/>
            <wp:docPr id="363" name="image186.png"/>
            <wp:cNvGraphicFramePr>
              <a:graphicFrameLocks noChangeAspect="1"/>
            </wp:cNvGraphicFramePr>
            <a:graphic>
              <a:graphicData uri="http://schemas.openxmlformats.org/drawingml/2006/picture">
                <pic:pic>
                  <pic:nvPicPr>
                    <pic:cNvPr id="364" name="image186.png"/>
                    <pic:cNvPicPr/>
                  </pic:nvPicPr>
                  <pic:blipFill>
                    <a:blip r:embed="rId200" cstate="print"/>
                    <a:stretch>
                      <a:fillRect/>
                    </a:stretch>
                  </pic:blipFill>
                  <pic:spPr>
                    <a:xfrm>
                      <a:off x="0" y="0"/>
                      <a:ext cx="5233341" cy="2950463"/>
                    </a:xfrm>
                    <a:prstGeom prst="rect">
                      <a:avLst/>
                    </a:prstGeom>
                  </pic:spPr>
                </pic:pic>
              </a:graphicData>
            </a:graphic>
          </wp:inline>
        </w:drawing>
      </w:r>
      <w:r>
        <w:rPr>
          <w:sz w:val="20"/>
        </w:rPr>
      </w:r>
    </w:p>
    <w:p>
      <w:pPr>
        <w:pStyle w:val="BodyText"/>
        <w:spacing w:before="1"/>
        <w:rPr>
          <w:sz w:val="12"/>
        </w:rPr>
      </w:pPr>
    </w:p>
    <w:p>
      <w:pPr>
        <w:spacing w:before="94"/>
        <w:ind w:left="599" w:right="617" w:firstLine="0"/>
        <w:jc w:val="center"/>
        <w:rPr>
          <w:b/>
          <w:sz w:val="16"/>
        </w:rPr>
      </w:pPr>
      <w:r>
        <w:rPr>
          <w:b/>
          <w:sz w:val="16"/>
        </w:rPr>
        <w:t>Figure 35.3: Carbodiimides mediated coupling of receptor to the matrix.</w:t>
      </w:r>
    </w:p>
    <w:p>
      <w:pPr>
        <w:pStyle w:val="BodyText"/>
        <w:rPr>
          <w:b/>
          <w:sz w:val="18"/>
        </w:rPr>
      </w:pPr>
    </w:p>
    <w:p>
      <w:pPr>
        <w:pStyle w:val="BodyText"/>
        <w:spacing w:before="9"/>
        <w:rPr>
          <w:b/>
          <w:sz w:val="18"/>
        </w:rPr>
      </w:pPr>
    </w:p>
    <w:p>
      <w:pPr>
        <w:spacing w:line="276" w:lineRule="auto" w:before="0"/>
        <w:ind w:left="300" w:right="313" w:firstLine="0"/>
        <w:jc w:val="both"/>
        <w:rPr>
          <w:sz w:val="24"/>
        </w:rPr>
      </w:pPr>
      <w:r>
        <w:rPr>
          <w:b/>
          <w:sz w:val="24"/>
        </w:rPr>
        <w:t>Operation of the Affinity chromatography-</w:t>
      </w:r>
      <w:r>
        <w:rPr>
          <w:sz w:val="24"/>
        </w:rPr>
        <w:t>Different steps in affinity chromatography is given in Figure 34.4.</w:t>
      </w:r>
    </w:p>
    <w:p>
      <w:pPr>
        <w:pStyle w:val="ListParagraph"/>
        <w:numPr>
          <w:ilvl w:val="2"/>
          <w:numId w:val="39"/>
        </w:numPr>
        <w:tabs>
          <w:tab w:pos="557" w:val="left" w:leader="none"/>
        </w:tabs>
        <w:spacing w:line="360" w:lineRule="auto" w:before="200" w:after="0"/>
        <w:ind w:left="300" w:right="319" w:firstLine="0"/>
        <w:jc w:val="both"/>
        <w:rPr>
          <w:sz w:val="24"/>
        </w:rPr>
      </w:pPr>
      <w:r>
        <w:rPr>
          <w:b/>
          <w:sz w:val="24"/>
        </w:rPr>
        <w:t>Equlibration-</w:t>
      </w:r>
      <w:r>
        <w:rPr>
          <w:sz w:val="24"/>
        </w:rPr>
        <w:t>Affinity column material packed in a column and equilibrate with a buffer containing high salt (0.5M NaCl) to reduce the non-specific interaction of protein with the</w:t>
      </w:r>
      <w:r>
        <w:rPr>
          <w:spacing w:val="-2"/>
          <w:sz w:val="24"/>
        </w:rPr>
        <w:t> </w:t>
      </w:r>
      <w:r>
        <w:rPr>
          <w:sz w:val="24"/>
        </w:rPr>
        <w:t>analyte.</w:t>
      </w:r>
    </w:p>
    <w:p>
      <w:pPr>
        <w:pStyle w:val="ListParagraph"/>
        <w:numPr>
          <w:ilvl w:val="2"/>
          <w:numId w:val="39"/>
        </w:numPr>
        <w:tabs>
          <w:tab w:pos="548" w:val="left" w:leader="none"/>
        </w:tabs>
        <w:spacing w:line="360" w:lineRule="auto" w:before="199" w:after="0"/>
        <w:ind w:left="300" w:right="317" w:firstLine="0"/>
        <w:jc w:val="both"/>
        <w:rPr>
          <w:sz w:val="24"/>
        </w:rPr>
      </w:pPr>
      <w:r>
        <w:rPr>
          <w:b/>
          <w:sz w:val="24"/>
        </w:rPr>
        <w:t>Sample Preparation- </w:t>
      </w:r>
      <w:r>
        <w:rPr>
          <w:sz w:val="24"/>
        </w:rPr>
        <w:t>The sample is prepared in the mobile phase and it should be free of suspended particle to avoid clogging of the column. The most recommended method to apply the sample is to inject the sample with a</w:t>
      </w:r>
      <w:r>
        <w:rPr>
          <w:spacing w:val="-12"/>
          <w:sz w:val="24"/>
        </w:rPr>
        <w:t> </w:t>
      </w:r>
      <w:r>
        <w:rPr>
          <w:sz w:val="24"/>
        </w:rPr>
        <w:t>syringe.</w:t>
      </w:r>
    </w:p>
    <w:p>
      <w:pPr>
        <w:pStyle w:val="ListParagraph"/>
        <w:numPr>
          <w:ilvl w:val="2"/>
          <w:numId w:val="39"/>
        </w:numPr>
        <w:tabs>
          <w:tab w:pos="584" w:val="left" w:leader="none"/>
        </w:tabs>
        <w:spacing w:line="360" w:lineRule="auto" w:before="200" w:after="0"/>
        <w:ind w:left="300" w:right="314" w:firstLine="0"/>
        <w:jc w:val="both"/>
        <w:rPr>
          <w:sz w:val="24"/>
        </w:rPr>
      </w:pPr>
      <w:r>
        <w:rPr>
          <w:b/>
          <w:sz w:val="24"/>
        </w:rPr>
        <w:t>Elution- </w:t>
      </w:r>
      <w:r>
        <w:rPr>
          <w:sz w:val="24"/>
        </w:rPr>
        <w:t>There are many ways to elute a analyte from the affinity column. (1) increasing concentration of counter ligand, (2) changing the pH polarity of the mobile phase, (3) By a detergent or chaotrophic salt to partially denature the receptor to reduce the affinity for bound</w:t>
      </w:r>
      <w:r>
        <w:rPr>
          <w:spacing w:val="-9"/>
          <w:sz w:val="24"/>
        </w:rPr>
        <w:t> </w:t>
      </w:r>
      <w:r>
        <w:rPr>
          <w:sz w:val="24"/>
        </w:rPr>
        <w:t>ligand.</w:t>
      </w:r>
    </w:p>
    <w:p>
      <w:pPr>
        <w:pStyle w:val="ListParagraph"/>
        <w:numPr>
          <w:ilvl w:val="2"/>
          <w:numId w:val="39"/>
        </w:numPr>
        <w:tabs>
          <w:tab w:pos="584" w:val="left" w:leader="none"/>
        </w:tabs>
        <w:spacing w:line="360" w:lineRule="auto" w:before="199" w:after="0"/>
        <w:ind w:left="300" w:right="317" w:firstLine="0"/>
        <w:jc w:val="both"/>
        <w:rPr>
          <w:sz w:val="24"/>
        </w:rPr>
      </w:pPr>
      <w:r>
        <w:rPr>
          <w:b/>
          <w:sz w:val="24"/>
        </w:rPr>
        <w:t>Column Regeneration- </w:t>
      </w:r>
      <w:r>
        <w:rPr>
          <w:sz w:val="24"/>
        </w:rPr>
        <w:t>After the elution of analyte, affinity column requires a regeneration step to use next time. column is washed with 6M urea or guanidine hydrochloride to remove all non-specifically bound protein. The column is then equiliberated with mobile phase to regenerate the column. The column can be store at 4</w:t>
      </w:r>
      <w:r>
        <w:rPr>
          <w:sz w:val="24"/>
          <w:vertAlign w:val="superscript"/>
        </w:rPr>
        <w:t>0</w:t>
      </w:r>
      <w:r>
        <w:rPr>
          <w:sz w:val="24"/>
          <w:vertAlign w:val="baseline"/>
        </w:rPr>
        <w:t>C in the presence of 20% alchol containing 0.05% sodium</w:t>
      </w:r>
      <w:r>
        <w:rPr>
          <w:spacing w:val="-9"/>
          <w:sz w:val="24"/>
          <w:vertAlign w:val="baseline"/>
        </w:rPr>
        <w:t> </w:t>
      </w:r>
      <w:r>
        <w:rPr>
          <w:sz w:val="24"/>
          <w:vertAlign w:val="baseline"/>
        </w:rPr>
        <w:t>azide.</w:t>
      </w:r>
    </w:p>
    <w:p>
      <w:pPr>
        <w:spacing w:after="0" w:line="360" w:lineRule="auto"/>
        <w:jc w:val="both"/>
        <w:rPr>
          <w:sz w:val="24"/>
        </w:rPr>
        <w:sectPr>
          <w:pgSz w:w="11910" w:h="16840"/>
          <w:pgMar w:header="722" w:footer="748" w:top="1300" w:bottom="940" w:left="1500" w:right="1480"/>
        </w:sectPr>
      </w:pPr>
    </w:p>
    <w:p>
      <w:pPr>
        <w:pStyle w:val="BodyText"/>
        <w:spacing w:before="4"/>
        <w:rPr>
          <w:sz w:val="21"/>
        </w:rPr>
      </w:pPr>
    </w:p>
    <w:p>
      <w:pPr>
        <w:pStyle w:val="BodyText"/>
        <w:ind w:left="505"/>
        <w:rPr>
          <w:sz w:val="20"/>
        </w:rPr>
      </w:pPr>
      <w:r>
        <w:rPr>
          <w:sz w:val="20"/>
        </w:rPr>
        <w:drawing>
          <wp:inline distT="0" distB="0" distL="0" distR="0">
            <wp:extent cx="5019546" cy="4376928"/>
            <wp:effectExtent l="0" t="0" r="0" b="0"/>
            <wp:docPr id="365" name="image187.png"/>
            <wp:cNvGraphicFramePr>
              <a:graphicFrameLocks noChangeAspect="1"/>
            </wp:cNvGraphicFramePr>
            <a:graphic>
              <a:graphicData uri="http://schemas.openxmlformats.org/drawingml/2006/picture">
                <pic:pic>
                  <pic:nvPicPr>
                    <pic:cNvPr id="366" name="image187.png"/>
                    <pic:cNvPicPr/>
                  </pic:nvPicPr>
                  <pic:blipFill>
                    <a:blip r:embed="rId201" cstate="print"/>
                    <a:stretch>
                      <a:fillRect/>
                    </a:stretch>
                  </pic:blipFill>
                  <pic:spPr>
                    <a:xfrm>
                      <a:off x="0" y="0"/>
                      <a:ext cx="5019546" cy="4376928"/>
                    </a:xfrm>
                    <a:prstGeom prst="rect">
                      <a:avLst/>
                    </a:prstGeom>
                  </pic:spPr>
                </pic:pic>
              </a:graphicData>
            </a:graphic>
          </wp:inline>
        </w:drawing>
      </w:r>
      <w:r>
        <w:rPr>
          <w:sz w:val="20"/>
        </w:rPr>
      </w:r>
    </w:p>
    <w:p>
      <w:pPr>
        <w:spacing w:before="111"/>
        <w:ind w:left="597" w:right="617" w:firstLine="0"/>
        <w:jc w:val="center"/>
        <w:rPr>
          <w:b/>
          <w:sz w:val="16"/>
        </w:rPr>
      </w:pPr>
      <w:r>
        <w:rPr>
          <w:b/>
          <w:sz w:val="16"/>
        </w:rPr>
        <w:t>Figure 35.4: Performing Affinity chromatography</w:t>
      </w:r>
    </w:p>
    <w:p>
      <w:pPr>
        <w:spacing w:after="0"/>
        <w:jc w:val="center"/>
        <w:rPr>
          <w:sz w:val="16"/>
        </w:rPr>
        <w:sectPr>
          <w:pgSz w:w="11910" w:h="16840"/>
          <w:pgMar w:header="722" w:footer="748" w:top="1300" w:bottom="940" w:left="1500" w:right="1480"/>
        </w:sectPr>
      </w:pPr>
    </w:p>
    <w:p>
      <w:pPr>
        <w:pStyle w:val="Heading2"/>
      </w:pPr>
      <w:r>
        <w:rPr/>
        <w:t>Lecture 36 Affinity Chromatography-III</w:t>
      </w:r>
    </w:p>
    <w:p>
      <w:pPr>
        <w:pStyle w:val="Heading4"/>
        <w:spacing w:before="256"/>
      </w:pPr>
      <w:r>
        <w:rPr/>
        <w:t>Applications of Affinity Chromatography</w:t>
      </w:r>
    </w:p>
    <w:p>
      <w:pPr>
        <w:pStyle w:val="BodyText"/>
        <w:spacing w:before="10"/>
        <w:rPr>
          <w:b/>
          <w:sz w:val="20"/>
        </w:rPr>
      </w:pPr>
    </w:p>
    <w:p>
      <w:pPr>
        <w:pStyle w:val="ListParagraph"/>
        <w:numPr>
          <w:ilvl w:val="0"/>
          <w:numId w:val="40"/>
        </w:numPr>
        <w:tabs>
          <w:tab w:pos="540" w:val="left" w:leader="none"/>
        </w:tabs>
        <w:spacing w:line="240" w:lineRule="auto" w:before="0" w:after="0"/>
        <w:ind w:left="540" w:right="0" w:hanging="240"/>
        <w:jc w:val="left"/>
        <w:rPr>
          <w:b/>
          <w:sz w:val="24"/>
        </w:rPr>
      </w:pPr>
      <w:r>
        <w:rPr>
          <w:b/>
          <w:sz w:val="24"/>
        </w:rPr>
        <w:t>Purification of biomolecules</w:t>
      </w:r>
    </w:p>
    <w:p>
      <w:pPr>
        <w:pStyle w:val="BodyText"/>
        <w:spacing w:before="8"/>
        <w:rPr>
          <w:b/>
          <w:sz w:val="20"/>
        </w:rPr>
      </w:pPr>
    </w:p>
    <w:p>
      <w:pPr>
        <w:pStyle w:val="BodyText"/>
        <w:spacing w:line="360" w:lineRule="auto"/>
        <w:ind w:left="299" w:right="314"/>
        <w:jc w:val="both"/>
      </w:pPr>
      <w:r>
        <w:rPr>
          <w:b/>
        </w:rPr>
        <w:t>GST Based Purification- </w:t>
      </w:r>
      <w:r>
        <w:rPr/>
        <w:t>Glutathione S-transferase (GST) utilizes glutathione as a substrate to catalyze conjugation reactions for xenobiotic detoxification purposes. The recombinant fusion protein contains GST as a tag is purified with glutathione coupled matrix (Figure 36.1). GST fusion protein is produced by the recombining protein of interest with the GST coding sequence present in the expression vector (either before or after coding sequence of protein of interest). </w:t>
      </w:r>
      <w:r>
        <w:rPr>
          <w:spacing w:val="-3"/>
        </w:rPr>
        <w:t>It </w:t>
      </w:r>
      <w:r>
        <w:rPr/>
        <w:t>is transformed, over-expressed and the bacterial lysate containing fusion protein is purified, using affinity column. The sample is loaded on the column previously equiliberated with the buffer containing high salt (0.5M NaCl). Unbound protein is washed with the equilibration buffer and then the fusion proein is eluted with different concentration of glutathione dissolved in the equilibration buffer. Purified fusion can be treated with the thrombin to remove the GST tag from the protein of interest. The mixture containing free GST tag and the protein can be purified using the affinity column again as tag will bind to the matrix but protein will come out in the unbound</w:t>
      </w:r>
      <w:r>
        <w:rPr>
          <w:spacing w:val="-3"/>
        </w:rPr>
        <w:t> </w:t>
      </w:r>
      <w:r>
        <w:rPr/>
        <w:t>fraction.</w:t>
      </w:r>
    </w:p>
    <w:p>
      <w:pPr>
        <w:pStyle w:val="BodyText"/>
        <w:rPr>
          <w:sz w:val="20"/>
        </w:rPr>
      </w:pPr>
    </w:p>
    <w:p>
      <w:pPr>
        <w:pStyle w:val="BodyText"/>
        <w:rPr>
          <w:sz w:val="20"/>
        </w:rPr>
      </w:pPr>
    </w:p>
    <w:p>
      <w:pPr>
        <w:pStyle w:val="BodyText"/>
        <w:spacing w:before="10"/>
        <w:rPr>
          <w:sz w:val="27"/>
        </w:rPr>
      </w:pPr>
      <w:r>
        <w:rPr/>
        <w:drawing>
          <wp:anchor distT="0" distB="0" distL="0" distR="0" allowOverlap="1" layoutInCell="1" locked="0" behindDoc="0" simplePos="0" relativeHeight="336">
            <wp:simplePos x="0" y="0"/>
            <wp:positionH relativeFrom="page">
              <wp:posOffset>1232693</wp:posOffset>
            </wp:positionH>
            <wp:positionV relativeFrom="paragraph">
              <wp:posOffset>228561</wp:posOffset>
            </wp:positionV>
            <wp:extent cx="5105758" cy="2907792"/>
            <wp:effectExtent l="0" t="0" r="0" b="0"/>
            <wp:wrapTopAndBottom/>
            <wp:docPr id="367" name="image188.png"/>
            <wp:cNvGraphicFramePr>
              <a:graphicFrameLocks noChangeAspect="1"/>
            </wp:cNvGraphicFramePr>
            <a:graphic>
              <a:graphicData uri="http://schemas.openxmlformats.org/drawingml/2006/picture">
                <pic:pic>
                  <pic:nvPicPr>
                    <pic:cNvPr id="368" name="image188.png"/>
                    <pic:cNvPicPr/>
                  </pic:nvPicPr>
                  <pic:blipFill>
                    <a:blip r:embed="rId202" cstate="print"/>
                    <a:stretch>
                      <a:fillRect/>
                    </a:stretch>
                  </pic:blipFill>
                  <pic:spPr>
                    <a:xfrm>
                      <a:off x="0" y="0"/>
                      <a:ext cx="5105758" cy="2907792"/>
                    </a:xfrm>
                    <a:prstGeom prst="rect">
                      <a:avLst/>
                    </a:prstGeom>
                  </pic:spPr>
                </pic:pic>
              </a:graphicData>
            </a:graphic>
          </wp:anchor>
        </w:drawing>
      </w:r>
    </w:p>
    <w:p>
      <w:pPr>
        <w:pStyle w:val="BodyText"/>
        <w:spacing w:before="9"/>
        <w:rPr>
          <w:sz w:val="25"/>
        </w:rPr>
      </w:pPr>
    </w:p>
    <w:p>
      <w:pPr>
        <w:spacing w:before="0"/>
        <w:ind w:left="600" w:right="617" w:firstLine="0"/>
        <w:jc w:val="center"/>
        <w:rPr>
          <w:b/>
          <w:sz w:val="16"/>
        </w:rPr>
      </w:pPr>
      <w:r>
        <w:rPr>
          <w:b/>
          <w:sz w:val="16"/>
        </w:rPr>
        <w:t>Figure 36.1: GST purification</w:t>
      </w:r>
    </w:p>
    <w:p>
      <w:pPr>
        <w:spacing w:after="0"/>
        <w:jc w:val="center"/>
        <w:rPr>
          <w:sz w:val="16"/>
        </w:rPr>
        <w:sectPr>
          <w:pgSz w:w="11910" w:h="16840"/>
          <w:pgMar w:header="722" w:footer="748" w:top="1300" w:bottom="940" w:left="1500" w:right="1480"/>
        </w:sectPr>
      </w:pPr>
    </w:p>
    <w:p>
      <w:pPr>
        <w:pStyle w:val="ListParagraph"/>
        <w:numPr>
          <w:ilvl w:val="0"/>
          <w:numId w:val="40"/>
        </w:numPr>
        <w:tabs>
          <w:tab w:pos="603" w:val="left" w:leader="none"/>
        </w:tabs>
        <w:spacing w:line="360" w:lineRule="auto" w:before="119" w:after="0"/>
        <w:ind w:left="299" w:right="311" w:firstLine="0"/>
        <w:jc w:val="both"/>
        <w:rPr>
          <w:sz w:val="24"/>
        </w:rPr>
      </w:pPr>
      <w:r>
        <w:rPr>
          <w:b/>
          <w:sz w:val="24"/>
        </w:rPr>
        <w:t>Protein-Protein interaction-</w:t>
      </w:r>
      <w:r>
        <w:rPr>
          <w:sz w:val="24"/>
        </w:rPr>
        <w:t>Protein-protein interaction can be studied through multiple techniques or approaches. Affinity column also can be used as a tool to study or isolate interacting partner of a particular protein. A schematic figure to depict the steps involved in the studying protein-protein interaction is given in (Figure 36.2). In this approach, matrix is incubated with the pure protein-1 and then washed to ensure tight binding. All other sites on the bead is blocked with an non-specific protein such as BSA or an unrelated cell lysate. Now cell lysate or the pure protein-2 is passed to the protein-1 containing beads, followed by washing with the buffer to remove unbounded proteins. Now the protein-1 is eluted from the matrix either by adding  high concentration of ligand, or with denaturating condition. Now the eluted protein is analyzed in the SDS-PAGE or SDS-PAGE followed by the western blotting to detect protein 1 or protein 2. As a control, cell lysate or protein-2 is also added to the matrix without protein-1 to rule out the possibility of protein-2 binding directly to the</w:t>
      </w:r>
      <w:r>
        <w:rPr>
          <w:spacing w:val="-21"/>
          <w:sz w:val="24"/>
        </w:rPr>
        <w:t> </w:t>
      </w:r>
      <w:r>
        <w:rPr>
          <w:sz w:val="24"/>
        </w:rPr>
        <w:t>matrix.</w:t>
      </w:r>
    </w:p>
    <w:p>
      <w:pPr>
        <w:pStyle w:val="BodyText"/>
        <w:spacing w:before="7"/>
        <w:rPr>
          <w:sz w:val="14"/>
        </w:rPr>
      </w:pPr>
      <w:r>
        <w:rPr/>
        <w:drawing>
          <wp:anchor distT="0" distB="0" distL="0" distR="0" allowOverlap="1" layoutInCell="1" locked="0" behindDoc="0" simplePos="0" relativeHeight="337">
            <wp:simplePos x="0" y="0"/>
            <wp:positionH relativeFrom="page">
              <wp:posOffset>1193076</wp:posOffset>
            </wp:positionH>
            <wp:positionV relativeFrom="paragraph">
              <wp:posOffset>131551</wp:posOffset>
            </wp:positionV>
            <wp:extent cx="5179923" cy="3919728"/>
            <wp:effectExtent l="0" t="0" r="0" b="0"/>
            <wp:wrapTopAndBottom/>
            <wp:docPr id="369" name="image189.png"/>
            <wp:cNvGraphicFramePr>
              <a:graphicFrameLocks noChangeAspect="1"/>
            </wp:cNvGraphicFramePr>
            <a:graphic>
              <a:graphicData uri="http://schemas.openxmlformats.org/drawingml/2006/picture">
                <pic:pic>
                  <pic:nvPicPr>
                    <pic:cNvPr id="370" name="image189.png"/>
                    <pic:cNvPicPr/>
                  </pic:nvPicPr>
                  <pic:blipFill>
                    <a:blip r:embed="rId203" cstate="print"/>
                    <a:stretch>
                      <a:fillRect/>
                    </a:stretch>
                  </pic:blipFill>
                  <pic:spPr>
                    <a:xfrm>
                      <a:off x="0" y="0"/>
                      <a:ext cx="5179923" cy="3919728"/>
                    </a:xfrm>
                    <a:prstGeom prst="rect">
                      <a:avLst/>
                    </a:prstGeom>
                  </pic:spPr>
                </pic:pic>
              </a:graphicData>
            </a:graphic>
          </wp:anchor>
        </w:drawing>
      </w:r>
    </w:p>
    <w:p>
      <w:pPr>
        <w:spacing w:before="0"/>
        <w:ind w:left="595" w:right="617" w:firstLine="0"/>
        <w:jc w:val="center"/>
        <w:rPr>
          <w:b/>
          <w:sz w:val="16"/>
        </w:rPr>
      </w:pPr>
      <w:r>
        <w:rPr>
          <w:b/>
          <w:sz w:val="16"/>
        </w:rPr>
        <w:t>Figure 36.2: Protein-protein interaction studies with an affinity chromatography.</w:t>
      </w:r>
    </w:p>
    <w:p>
      <w:pPr>
        <w:spacing w:after="0"/>
        <w:jc w:val="center"/>
        <w:rPr>
          <w:sz w:val="16"/>
        </w:rPr>
        <w:sectPr>
          <w:pgSz w:w="11910" w:h="16840"/>
          <w:pgMar w:header="722" w:footer="748" w:top="1300" w:bottom="940" w:left="1500" w:right="1480"/>
        </w:sectPr>
      </w:pPr>
    </w:p>
    <w:p>
      <w:pPr>
        <w:pStyle w:val="ListParagraph"/>
        <w:numPr>
          <w:ilvl w:val="0"/>
          <w:numId w:val="40"/>
        </w:numPr>
        <w:tabs>
          <w:tab w:pos="548" w:val="left" w:leader="none"/>
        </w:tabs>
        <w:spacing w:line="360" w:lineRule="auto" w:before="119" w:after="0"/>
        <w:ind w:left="299" w:right="315" w:firstLine="0"/>
        <w:jc w:val="both"/>
        <w:rPr>
          <w:sz w:val="24"/>
        </w:rPr>
      </w:pPr>
      <w:r>
        <w:rPr>
          <w:b/>
          <w:sz w:val="24"/>
        </w:rPr>
        <w:t>Enzymatic Assay-</w:t>
      </w:r>
      <w:r>
        <w:rPr>
          <w:sz w:val="24"/>
        </w:rPr>
        <w:t>Affinity chromatography can be use to perform enzymatic assay such as protease assay (Figure 36.3). In this assay, peptides with different amino acid sequence bound with the terminal residue to the affinity bead are incubated with the protease for an optimal time. Enzyme acts on the attached peptide and relases the free portion into the supernatant. The supernatant is recovered from the reaction mixture and can be analyzed in a MALDI-tof to deduce the amino acid sequence from the molecular weight. Analysis of a set of reaction may allow to predict the protease recognition and cutting</w:t>
      </w:r>
      <w:r>
        <w:rPr>
          <w:spacing w:val="-4"/>
          <w:sz w:val="24"/>
        </w:rPr>
        <w:t> </w:t>
      </w:r>
      <w:r>
        <w:rPr>
          <w:sz w:val="24"/>
        </w:rPr>
        <w:t>site.</w:t>
      </w:r>
    </w:p>
    <w:p>
      <w:pPr>
        <w:pStyle w:val="BodyText"/>
        <w:spacing w:before="6"/>
        <w:rPr>
          <w:sz w:val="14"/>
        </w:rPr>
      </w:pPr>
      <w:r>
        <w:rPr/>
        <w:drawing>
          <wp:anchor distT="0" distB="0" distL="0" distR="0" allowOverlap="1" layoutInCell="1" locked="0" behindDoc="0" simplePos="0" relativeHeight="338">
            <wp:simplePos x="0" y="0"/>
            <wp:positionH relativeFrom="page">
              <wp:posOffset>1236877</wp:posOffset>
            </wp:positionH>
            <wp:positionV relativeFrom="paragraph">
              <wp:posOffset>131414</wp:posOffset>
            </wp:positionV>
            <wp:extent cx="5093077" cy="3621024"/>
            <wp:effectExtent l="0" t="0" r="0" b="0"/>
            <wp:wrapTopAndBottom/>
            <wp:docPr id="371" name="image190.png"/>
            <wp:cNvGraphicFramePr>
              <a:graphicFrameLocks noChangeAspect="1"/>
            </wp:cNvGraphicFramePr>
            <a:graphic>
              <a:graphicData uri="http://schemas.openxmlformats.org/drawingml/2006/picture">
                <pic:pic>
                  <pic:nvPicPr>
                    <pic:cNvPr id="372" name="image190.png"/>
                    <pic:cNvPicPr/>
                  </pic:nvPicPr>
                  <pic:blipFill>
                    <a:blip r:embed="rId204" cstate="print"/>
                    <a:stretch>
                      <a:fillRect/>
                    </a:stretch>
                  </pic:blipFill>
                  <pic:spPr>
                    <a:xfrm>
                      <a:off x="0" y="0"/>
                      <a:ext cx="5093077" cy="3621024"/>
                    </a:xfrm>
                    <a:prstGeom prst="rect">
                      <a:avLst/>
                    </a:prstGeom>
                  </pic:spPr>
                </pic:pic>
              </a:graphicData>
            </a:graphic>
          </wp:anchor>
        </w:drawing>
      </w:r>
    </w:p>
    <w:p>
      <w:pPr>
        <w:pStyle w:val="BodyText"/>
        <w:spacing w:before="6"/>
        <w:rPr>
          <w:sz w:val="36"/>
        </w:rPr>
      </w:pPr>
    </w:p>
    <w:p>
      <w:pPr>
        <w:spacing w:before="0"/>
        <w:ind w:left="600" w:right="617" w:firstLine="0"/>
        <w:jc w:val="center"/>
        <w:rPr>
          <w:b/>
          <w:sz w:val="16"/>
        </w:rPr>
      </w:pPr>
      <w:r>
        <w:rPr>
          <w:b/>
          <w:sz w:val="16"/>
        </w:rPr>
        <w:t>Figure 36.3: Protease assay by an affinity chromatography.</w:t>
      </w:r>
    </w:p>
    <w:p>
      <w:pPr>
        <w:pStyle w:val="BodyText"/>
        <w:rPr>
          <w:b/>
          <w:sz w:val="18"/>
        </w:rPr>
      </w:pPr>
    </w:p>
    <w:p>
      <w:pPr>
        <w:pStyle w:val="BodyText"/>
        <w:spacing w:before="7"/>
        <w:rPr>
          <w:b/>
          <w:sz w:val="18"/>
        </w:rPr>
      </w:pPr>
    </w:p>
    <w:p>
      <w:pPr>
        <w:pStyle w:val="ListParagraph"/>
        <w:numPr>
          <w:ilvl w:val="0"/>
          <w:numId w:val="40"/>
        </w:numPr>
        <w:tabs>
          <w:tab w:pos="543" w:val="left" w:leader="none"/>
        </w:tabs>
        <w:spacing w:line="360" w:lineRule="auto" w:before="0" w:after="0"/>
        <w:ind w:left="300" w:right="316" w:firstLine="0"/>
        <w:jc w:val="both"/>
        <w:rPr>
          <w:sz w:val="24"/>
        </w:rPr>
      </w:pPr>
      <w:r>
        <w:rPr>
          <w:b/>
          <w:sz w:val="24"/>
        </w:rPr>
        <w:t>Clinical diagnosis-</w:t>
      </w:r>
      <w:r>
        <w:rPr>
          <w:sz w:val="24"/>
        </w:rPr>
        <w:t>Receptor present on the matrix provides a unique tool to isolate, detect and characterize biomolecules from the crude mixture. For example, matrix containing boronic acid is used to separate and quantify glycosylated hemoglobin from diabetic patients blood. Ribonucleoside in patient urine can be identify by an affinity matrix containing boronic acid followed by the reverse phase chromatography.</w:t>
      </w:r>
    </w:p>
    <w:p>
      <w:pPr>
        <w:spacing w:after="0" w:line="360" w:lineRule="auto"/>
        <w:jc w:val="both"/>
        <w:rPr>
          <w:sz w:val="24"/>
        </w:rPr>
        <w:sectPr>
          <w:pgSz w:w="11910" w:h="16840"/>
          <w:pgMar w:header="722" w:footer="748" w:top="1300" w:bottom="940" w:left="1500" w:right="1480"/>
        </w:sectPr>
      </w:pPr>
    </w:p>
    <w:p>
      <w:pPr>
        <w:pStyle w:val="ListParagraph"/>
        <w:numPr>
          <w:ilvl w:val="0"/>
          <w:numId w:val="40"/>
        </w:numPr>
        <w:tabs>
          <w:tab w:pos="593" w:val="left" w:leader="none"/>
        </w:tabs>
        <w:spacing w:line="360" w:lineRule="auto" w:before="119" w:after="0"/>
        <w:ind w:left="299" w:right="315" w:firstLine="0"/>
        <w:jc w:val="both"/>
        <w:rPr>
          <w:sz w:val="24"/>
        </w:rPr>
      </w:pPr>
      <w:r>
        <w:rPr>
          <w:b/>
          <w:sz w:val="24"/>
        </w:rPr>
        <w:t>Immuno-purification- </w:t>
      </w:r>
      <w:r>
        <w:rPr>
          <w:sz w:val="24"/>
        </w:rPr>
        <w:t>The avidin-biotin system is used to capture and isolate cytokines from immune cells (Figure 36.4). Biotinylation of antibodies allows immobilization of antibodies in the correct orientation on the streptomycin coated glass beads. Lymphocyte lysate is passed to the column packed with the glass beads containing antibodies binds cytokines. The cytokines are eluted by flowing buffer of decreasing pH or by chaotrophic ions. The antibodies remain bound to the column due to strong affinity between avidin-biotin which is resistant to these chemical</w:t>
      </w:r>
      <w:r>
        <w:rPr>
          <w:spacing w:val="-22"/>
          <w:sz w:val="24"/>
        </w:rPr>
        <w:t> </w:t>
      </w:r>
      <w:r>
        <w:rPr>
          <w:sz w:val="24"/>
        </w:rPr>
        <w:t>treatment.</w:t>
      </w:r>
    </w:p>
    <w:p>
      <w:pPr>
        <w:pStyle w:val="BodyText"/>
        <w:spacing w:before="7"/>
        <w:rPr>
          <w:sz w:val="14"/>
        </w:rPr>
      </w:pPr>
      <w:r>
        <w:rPr/>
        <w:drawing>
          <wp:anchor distT="0" distB="0" distL="0" distR="0" allowOverlap="1" layoutInCell="1" locked="0" behindDoc="0" simplePos="0" relativeHeight="339">
            <wp:simplePos x="0" y="0"/>
            <wp:positionH relativeFrom="page">
              <wp:posOffset>1968144</wp:posOffset>
            </wp:positionH>
            <wp:positionV relativeFrom="paragraph">
              <wp:posOffset>131557</wp:posOffset>
            </wp:positionV>
            <wp:extent cx="3631114" cy="4309872"/>
            <wp:effectExtent l="0" t="0" r="0" b="0"/>
            <wp:wrapTopAndBottom/>
            <wp:docPr id="373" name="image191.png"/>
            <wp:cNvGraphicFramePr>
              <a:graphicFrameLocks noChangeAspect="1"/>
            </wp:cNvGraphicFramePr>
            <a:graphic>
              <a:graphicData uri="http://schemas.openxmlformats.org/drawingml/2006/picture">
                <pic:pic>
                  <pic:nvPicPr>
                    <pic:cNvPr id="374" name="image191.png"/>
                    <pic:cNvPicPr/>
                  </pic:nvPicPr>
                  <pic:blipFill>
                    <a:blip r:embed="rId205" cstate="print"/>
                    <a:stretch>
                      <a:fillRect/>
                    </a:stretch>
                  </pic:blipFill>
                  <pic:spPr>
                    <a:xfrm>
                      <a:off x="0" y="0"/>
                      <a:ext cx="3631114" cy="4309872"/>
                    </a:xfrm>
                    <a:prstGeom prst="rect">
                      <a:avLst/>
                    </a:prstGeom>
                  </pic:spPr>
                </pic:pic>
              </a:graphicData>
            </a:graphic>
          </wp:anchor>
        </w:drawing>
      </w:r>
    </w:p>
    <w:p>
      <w:pPr>
        <w:spacing w:before="78"/>
        <w:ind w:left="593" w:right="617" w:firstLine="0"/>
        <w:jc w:val="center"/>
        <w:rPr>
          <w:b/>
          <w:sz w:val="16"/>
        </w:rPr>
      </w:pPr>
      <w:r>
        <w:rPr>
          <w:b/>
          <w:sz w:val="16"/>
        </w:rPr>
        <w:t>Figure 36.4: Immuno-purification with an affinity column.</w:t>
      </w:r>
    </w:p>
    <w:p>
      <w:pPr>
        <w:spacing w:after="0"/>
        <w:jc w:val="center"/>
        <w:rPr>
          <w:sz w:val="16"/>
        </w:rPr>
        <w:sectPr>
          <w:pgSz w:w="11910" w:h="16840"/>
          <w:pgMar w:header="722" w:footer="748" w:top="1300" w:bottom="940" w:left="1500" w:right="1480"/>
        </w:sectPr>
      </w:pPr>
    </w:p>
    <w:p>
      <w:pPr>
        <w:pStyle w:val="Heading2"/>
      </w:pPr>
      <w:r>
        <w:rPr/>
        <w:t>Lecture 37 Thin Layer Chromatography</w:t>
      </w:r>
    </w:p>
    <w:p>
      <w:pPr>
        <w:pStyle w:val="BodyText"/>
        <w:spacing w:line="360" w:lineRule="auto" w:before="251"/>
        <w:ind w:left="299" w:right="313"/>
        <w:jc w:val="both"/>
      </w:pPr>
      <w:r>
        <w:rPr/>
        <w:t>The thin layer chromatography technique is an analytical chromatography to separate and analyze complex biological or non-biological samples into their constituents. </w:t>
      </w:r>
      <w:r>
        <w:rPr>
          <w:spacing w:val="-3"/>
        </w:rPr>
        <w:t>It </w:t>
      </w:r>
      <w:r>
        <w:rPr/>
        <w:t>is most popular for monitoring the progress of a chemical reaction or estimation of a substance in a mixture. It is also one of the popular technique for testing the purity of a sample. In this method, the silica or alumina as a stationery phase is coated on to a glass or aluminium foil as thin layer and then a sample is allowed to run in the presence of a mobile phase (solvent). In comparison to other chromatography techniques, the mobile phase runs from bottom to top by diffusion (in most of the chromatography techniques, mobile phase runs from top to bottom by gravity or pump). As sample runs along with the mobile phase, it get distributed into the solvent phase and stationery phase. The interaction of sample with the stationery phase retard the movement of the molecule where as mobile phase implies an effective force onto the sample. Supose the force caused by mobile phase is </w:t>
      </w:r>
      <w:r>
        <w:rPr>
          <w:b/>
        </w:rPr>
        <w:t>F</w:t>
      </w:r>
      <w:r>
        <w:rPr>
          <w:b/>
          <w:vertAlign w:val="subscript"/>
        </w:rPr>
        <w:t>m</w:t>
      </w:r>
      <w:r>
        <w:rPr>
          <w:b/>
          <w:vertAlign w:val="baseline"/>
        </w:rPr>
        <w:t> </w:t>
      </w:r>
      <w:r>
        <w:rPr>
          <w:vertAlign w:val="baseline"/>
        </w:rPr>
        <w:t>and the retardation force by stationery phase is </w:t>
      </w:r>
      <w:r>
        <w:rPr>
          <w:b/>
          <w:vertAlign w:val="baseline"/>
        </w:rPr>
        <w:t>F</w:t>
      </w:r>
      <w:r>
        <w:rPr>
          <w:b/>
          <w:vertAlign w:val="subscript"/>
        </w:rPr>
        <w:t>s</w:t>
      </w:r>
      <w:r>
        <w:rPr>
          <w:vertAlign w:val="baseline"/>
        </w:rPr>
        <w:t>, then effective force on the molecule will be </w:t>
      </w:r>
      <w:r>
        <w:rPr>
          <w:b/>
          <w:vertAlign w:val="baseline"/>
        </w:rPr>
        <w:t>(F</w:t>
      </w:r>
      <w:r>
        <w:rPr>
          <w:b/>
          <w:vertAlign w:val="subscript"/>
        </w:rPr>
        <w:t>m</w:t>
      </w:r>
      <w:r>
        <w:rPr>
          <w:b/>
          <w:vertAlign w:val="baseline"/>
        </w:rPr>
        <w:t>-F</w:t>
      </w:r>
      <w:r>
        <w:rPr>
          <w:b/>
          <w:vertAlign w:val="subscript"/>
        </w:rPr>
        <w:t>s</w:t>
      </w:r>
      <w:r>
        <w:rPr>
          <w:b/>
          <w:vertAlign w:val="baseline"/>
        </w:rPr>
        <w:t>) </w:t>
      </w:r>
      <w:r>
        <w:rPr>
          <w:vertAlign w:val="baseline"/>
        </w:rPr>
        <w:t>through which it will move (Figure 37.1). The molecule immobilizes on the silica gel (where, F</w:t>
      </w:r>
      <w:r>
        <w:rPr>
          <w:vertAlign w:val="subscript"/>
        </w:rPr>
        <w:t>m</w:t>
      </w:r>
      <w:r>
        <w:rPr>
          <w:vertAlign w:val="baseline"/>
        </w:rPr>
        <w:t>=F</w:t>
      </w:r>
      <w:r>
        <w:rPr>
          <w:vertAlign w:val="subscript"/>
        </w:rPr>
        <w:t>s</w:t>
      </w:r>
      <w:r>
        <w:rPr>
          <w:vertAlign w:val="baseline"/>
        </w:rPr>
        <w:t>) and the position will be controlled by multiple</w:t>
      </w:r>
      <w:r>
        <w:rPr>
          <w:spacing w:val="-10"/>
          <w:vertAlign w:val="baseline"/>
        </w:rPr>
        <w:t> </w:t>
      </w:r>
      <w:r>
        <w:rPr>
          <w:vertAlign w:val="baseline"/>
        </w:rPr>
        <w:t>factors.</w:t>
      </w:r>
    </w:p>
    <w:p>
      <w:pPr>
        <w:pStyle w:val="ListParagraph"/>
        <w:numPr>
          <w:ilvl w:val="0"/>
          <w:numId w:val="41"/>
        </w:numPr>
        <w:tabs>
          <w:tab w:pos="540" w:val="left" w:leader="none"/>
        </w:tabs>
        <w:spacing w:line="240" w:lineRule="auto" w:before="200" w:after="0"/>
        <w:ind w:left="540" w:right="0" w:hanging="240"/>
        <w:jc w:val="both"/>
        <w:rPr>
          <w:sz w:val="24"/>
        </w:rPr>
      </w:pPr>
      <w:r>
        <w:rPr>
          <w:sz w:val="24"/>
        </w:rPr>
        <w:t>Nature or functional group present on the molecule or</w:t>
      </w:r>
      <w:r>
        <w:rPr>
          <w:spacing w:val="-4"/>
          <w:sz w:val="24"/>
        </w:rPr>
        <w:t> </w:t>
      </w:r>
      <w:r>
        <w:rPr>
          <w:sz w:val="24"/>
        </w:rPr>
        <w:t>analyte.</w:t>
      </w:r>
    </w:p>
    <w:p>
      <w:pPr>
        <w:pStyle w:val="BodyText"/>
        <w:spacing w:before="5"/>
        <w:rPr>
          <w:sz w:val="29"/>
        </w:rPr>
      </w:pPr>
    </w:p>
    <w:p>
      <w:pPr>
        <w:pStyle w:val="ListParagraph"/>
        <w:numPr>
          <w:ilvl w:val="0"/>
          <w:numId w:val="41"/>
        </w:numPr>
        <w:tabs>
          <w:tab w:pos="540" w:val="left" w:leader="none"/>
        </w:tabs>
        <w:spacing w:line="240" w:lineRule="auto" w:before="0" w:after="0"/>
        <w:ind w:left="540" w:right="0" w:hanging="240"/>
        <w:jc w:val="both"/>
        <w:rPr>
          <w:sz w:val="24"/>
        </w:rPr>
      </w:pPr>
      <w:r>
        <w:rPr>
          <w:sz w:val="24"/>
        </w:rPr>
        <w:t>Nature or composition of the mobile</w:t>
      </w:r>
      <w:r>
        <w:rPr>
          <w:spacing w:val="-4"/>
          <w:sz w:val="24"/>
        </w:rPr>
        <w:t> </w:t>
      </w:r>
      <w:r>
        <w:rPr>
          <w:sz w:val="24"/>
        </w:rPr>
        <w:t>phase</w:t>
      </w:r>
    </w:p>
    <w:p>
      <w:pPr>
        <w:pStyle w:val="BodyText"/>
        <w:spacing w:before="2"/>
        <w:rPr>
          <w:sz w:val="29"/>
        </w:rPr>
      </w:pPr>
    </w:p>
    <w:p>
      <w:pPr>
        <w:pStyle w:val="ListParagraph"/>
        <w:numPr>
          <w:ilvl w:val="0"/>
          <w:numId w:val="41"/>
        </w:numPr>
        <w:tabs>
          <w:tab w:pos="540" w:val="left" w:leader="none"/>
        </w:tabs>
        <w:spacing w:line="240" w:lineRule="auto" w:before="1" w:after="0"/>
        <w:ind w:left="540" w:right="0" w:hanging="240"/>
        <w:jc w:val="both"/>
        <w:rPr>
          <w:sz w:val="24"/>
        </w:rPr>
      </w:pPr>
      <w:r>
        <w:rPr>
          <w:sz w:val="24"/>
        </w:rPr>
        <w:t>Thickness of the stationery</w:t>
      </w:r>
      <w:r>
        <w:rPr>
          <w:spacing w:val="-8"/>
          <w:sz w:val="24"/>
        </w:rPr>
        <w:t> </w:t>
      </w:r>
      <w:r>
        <w:rPr>
          <w:sz w:val="24"/>
        </w:rPr>
        <w:t>phase.</w:t>
      </w:r>
    </w:p>
    <w:p>
      <w:pPr>
        <w:pStyle w:val="BodyText"/>
        <w:spacing w:before="4"/>
        <w:rPr>
          <w:sz w:val="29"/>
        </w:rPr>
      </w:pPr>
    </w:p>
    <w:p>
      <w:pPr>
        <w:pStyle w:val="ListParagraph"/>
        <w:numPr>
          <w:ilvl w:val="0"/>
          <w:numId w:val="41"/>
        </w:numPr>
        <w:tabs>
          <w:tab w:pos="540" w:val="left" w:leader="none"/>
        </w:tabs>
        <w:spacing w:line="240" w:lineRule="auto" w:before="1" w:after="0"/>
        <w:ind w:left="540" w:right="0" w:hanging="240"/>
        <w:jc w:val="both"/>
        <w:rPr>
          <w:sz w:val="24"/>
        </w:rPr>
      </w:pPr>
      <w:r>
        <w:rPr>
          <w:sz w:val="24"/>
        </w:rPr>
        <w:t>Functional group present on stationery</w:t>
      </w:r>
      <w:r>
        <w:rPr>
          <w:spacing w:val="-4"/>
          <w:sz w:val="24"/>
        </w:rPr>
        <w:t> </w:t>
      </w:r>
      <w:r>
        <w:rPr>
          <w:sz w:val="24"/>
        </w:rPr>
        <w:t>phase.</w:t>
      </w:r>
    </w:p>
    <w:p>
      <w:pPr>
        <w:spacing w:after="0" w:line="240" w:lineRule="auto"/>
        <w:jc w:val="both"/>
        <w:rPr>
          <w:sz w:val="24"/>
        </w:rPr>
        <w:sectPr>
          <w:pgSz w:w="11910" w:h="16840"/>
          <w:pgMar w:header="722" w:footer="748" w:top="1300" w:bottom="940" w:left="1500" w:right="1480"/>
        </w:sectPr>
      </w:pPr>
    </w:p>
    <w:p>
      <w:pPr>
        <w:pStyle w:val="BodyText"/>
        <w:spacing w:line="360" w:lineRule="auto" w:before="119"/>
        <w:ind w:left="250" w:right="268"/>
        <w:jc w:val="center"/>
      </w:pPr>
      <w:r>
        <w:rPr/>
        <w:t>If the distance travelled by a molecule on TLC plate is </w:t>
      </w:r>
      <w:r>
        <w:rPr>
          <w:b/>
        </w:rPr>
        <w:t>D</w:t>
      </w:r>
      <w:r>
        <w:rPr>
          <w:b/>
          <w:vertAlign w:val="subscript"/>
        </w:rPr>
        <w:t>m</w:t>
      </w:r>
      <w:r>
        <w:rPr>
          <w:b/>
          <w:vertAlign w:val="baseline"/>
        </w:rPr>
        <w:t> </w:t>
      </w:r>
      <w:r>
        <w:rPr>
          <w:vertAlign w:val="baseline"/>
        </w:rPr>
        <w:t>where as the distance travelled by the solvent is </w:t>
      </w:r>
      <w:r>
        <w:rPr>
          <w:b/>
          <w:vertAlign w:val="baseline"/>
        </w:rPr>
        <w:t>D</w:t>
      </w:r>
      <w:r>
        <w:rPr>
          <w:b/>
          <w:vertAlign w:val="subscript"/>
        </w:rPr>
        <w:t>s</w:t>
      </w:r>
      <w:r>
        <w:rPr>
          <w:vertAlign w:val="baseline"/>
        </w:rPr>
        <w:t>, then the retardation factor (R</w:t>
      </w:r>
      <w:r>
        <w:rPr>
          <w:vertAlign w:val="subscript"/>
        </w:rPr>
        <w:t>f</w:t>
      </w:r>
      <w:r>
        <w:rPr>
          <w:vertAlign w:val="baseline"/>
        </w:rPr>
        <w:t>) of molecule is given by:</w:t>
      </w:r>
    </w:p>
    <w:p>
      <w:pPr>
        <w:pStyle w:val="Heading1"/>
        <w:spacing w:line="199" w:lineRule="auto" w:before="230"/>
        <w:ind w:left="292" w:right="309"/>
        <w:jc w:val="center"/>
      </w:pPr>
      <w:r>
        <w:rPr/>
        <w:pict>
          <v:rect style="position:absolute;margin-left:160.679993pt;margin-top:33.430653pt;width:317.040pt;height:1.2pt;mso-position-horizontal-relative:page;mso-position-vertical-relative:paragraph;z-index:-18364416" filled="true" fillcolor="#000000" stroked="false">
            <v:fill type="solid"/>
            <w10:wrap type="none"/>
          </v:rect>
        </w:pict>
      </w:r>
      <w:r>
        <w:rPr>
          <w:spacing w:val="-1"/>
          <w:w w:val="97"/>
          <w:position w:val="-26"/>
        </w:rPr>
        <w:t>𝐑</w:t>
      </w:r>
      <w:r>
        <w:rPr>
          <w:w w:val="97"/>
          <w:position w:val="-26"/>
        </w:rPr>
        <w:t>𝐟</w:t>
      </w:r>
      <w:r>
        <w:rPr>
          <w:spacing w:val="11"/>
          <w:position w:val="-26"/>
        </w:rPr>
        <w:t> </w:t>
      </w:r>
      <w:r>
        <w:rPr>
          <w:w w:val="96"/>
          <w:position w:val="-26"/>
        </w:rPr>
        <w:t>=</w:t>
      </w:r>
      <w:r>
        <w:rPr>
          <w:spacing w:val="8"/>
          <w:position w:val="-26"/>
        </w:rPr>
        <w:t> </w:t>
      </w:r>
      <w:r>
        <w:rPr>
          <w:w w:val="127"/>
        </w:rPr>
        <w:t>𝐃</w:t>
      </w:r>
      <w:r>
        <w:rPr>
          <w:spacing w:val="-1"/>
          <w:w w:val="58"/>
        </w:rPr>
        <w:t>𝐢</w:t>
      </w:r>
      <w:r>
        <w:rPr>
          <w:spacing w:val="-1"/>
          <w:w w:val="84"/>
        </w:rPr>
        <w:t>𝐬</w:t>
      </w:r>
      <w:r>
        <w:rPr>
          <w:w w:val="82"/>
        </w:rPr>
        <w:t>𝐭</w:t>
      </w:r>
      <w:r>
        <w:rPr>
          <w:spacing w:val="-2"/>
          <w:w w:val="82"/>
        </w:rPr>
        <w:t>𝐚</w:t>
      </w:r>
      <w:r>
        <w:rPr>
          <w:w w:val="109"/>
        </w:rPr>
        <w:t>𝐧</w:t>
      </w:r>
      <w:r>
        <w:rPr>
          <w:spacing w:val="1"/>
          <w:w w:val="85"/>
        </w:rPr>
        <w:t>𝐜</w:t>
      </w:r>
      <w:r>
        <w:rPr>
          <w:w w:val="96"/>
        </w:rPr>
        <w:t>𝐞</w:t>
      </w:r>
      <w:r>
        <w:rPr>
          <w:spacing w:val="-11"/>
        </w:rPr>
        <w:t> </w:t>
      </w:r>
      <w:r>
        <w:rPr>
          <w:w w:val="67"/>
        </w:rPr>
        <w:t>𝐭</w:t>
      </w:r>
      <w:r>
        <w:rPr>
          <w:spacing w:val="-2"/>
          <w:w w:val="92"/>
        </w:rPr>
        <w:t>𝐫𝐚</w:t>
      </w:r>
      <w:r>
        <w:rPr>
          <w:spacing w:val="-1"/>
          <w:w w:val="92"/>
        </w:rPr>
        <w:t>𝐯</w:t>
      </w:r>
      <w:r>
        <w:rPr>
          <w:w w:val="96"/>
        </w:rPr>
        <w:t>𝐞</w:t>
      </w:r>
      <w:r>
        <w:rPr>
          <w:spacing w:val="-1"/>
          <w:w w:val="57"/>
        </w:rPr>
        <w:t>𝐥</w:t>
      </w:r>
      <w:r>
        <w:rPr>
          <w:spacing w:val="1"/>
          <w:w w:val="57"/>
        </w:rPr>
        <w:t>𝐥</w:t>
      </w:r>
      <w:r>
        <w:rPr>
          <w:w w:val="96"/>
        </w:rPr>
        <w:t>𝐞</w:t>
      </w:r>
      <w:r>
        <w:rPr>
          <w:w w:val="108"/>
        </w:rPr>
        <w:t>𝐝</w:t>
      </w:r>
      <w:r>
        <w:rPr>
          <w:spacing w:val="-11"/>
        </w:rPr>
        <w:t> </w:t>
      </w:r>
      <w:r>
        <w:rPr>
          <w:w w:val="101"/>
        </w:rPr>
        <w:t>𝐛𝐲</w:t>
      </w:r>
      <w:r>
        <w:rPr>
          <w:spacing w:val="-11"/>
        </w:rPr>
        <w:t> </w:t>
      </w:r>
      <w:r>
        <w:rPr>
          <w:spacing w:val="-1"/>
          <w:w w:val="84"/>
        </w:rPr>
        <w:t>𝐬</w:t>
      </w:r>
      <w:r>
        <w:rPr>
          <w:w w:val="108"/>
        </w:rPr>
        <w:t>𝐮</w:t>
      </w:r>
      <w:r>
        <w:rPr>
          <w:w w:val="107"/>
        </w:rPr>
        <w:t>𝐛</w:t>
      </w:r>
      <w:r>
        <w:rPr>
          <w:spacing w:val="-1"/>
          <w:w w:val="84"/>
        </w:rPr>
        <w:t>𝐬</w:t>
      </w:r>
      <w:r>
        <w:rPr>
          <w:w w:val="82"/>
        </w:rPr>
        <w:t>𝐭</w:t>
      </w:r>
      <w:r>
        <w:rPr>
          <w:spacing w:val="-2"/>
          <w:w w:val="82"/>
        </w:rPr>
        <w:t>𝐚</w:t>
      </w:r>
      <w:r>
        <w:rPr>
          <w:w w:val="109"/>
        </w:rPr>
        <w:t>𝐧</w:t>
      </w:r>
      <w:r>
        <w:rPr>
          <w:spacing w:val="1"/>
          <w:w w:val="85"/>
        </w:rPr>
        <w:t>𝐜</w:t>
      </w:r>
      <w:r>
        <w:rPr>
          <w:w w:val="96"/>
        </w:rPr>
        <w:t>𝐞</w:t>
      </w:r>
      <w:r>
        <w:rPr>
          <w:spacing w:val="-11"/>
        </w:rPr>
        <w:t> </w:t>
      </w:r>
      <w:r>
        <w:rPr>
          <w:spacing w:val="-1"/>
          <w:w w:val="124"/>
        </w:rPr>
        <w:t>(</w:t>
      </w:r>
      <w:r>
        <w:rPr>
          <w:w w:val="144"/>
        </w:rPr>
        <w:t>𝐃𝐦</w:t>
      </w:r>
      <w:r>
        <w:rPr>
          <w:w w:val="124"/>
        </w:rPr>
        <w:t>)</w:t>
      </w:r>
    </w:p>
    <w:p>
      <w:pPr>
        <w:spacing w:line="303" w:lineRule="exact" w:before="0"/>
        <w:ind w:left="2021" w:right="0" w:firstLine="0"/>
        <w:jc w:val="left"/>
        <w:rPr>
          <w:rFonts w:ascii="Symbola" w:eastAsia="Symbola"/>
          <w:sz w:val="36"/>
        </w:rPr>
      </w:pPr>
      <w:r>
        <w:rPr>
          <w:rFonts w:ascii="Symbola" w:eastAsia="Symbola"/>
          <w:sz w:val="36"/>
        </w:rPr>
        <w:t>𝐃𝐢𝐬𝐭𝐚𝐧𝐜𝐞 𝐭𝐫𝐚𝐯𝐞𝐥𝐥𝐞𝐝 𝐛𝐲 𝐬𝐨𝐥𝐯𝐞𝐧𝐭 (𝐃𝐬)</w:t>
      </w:r>
    </w:p>
    <w:p>
      <w:pPr>
        <w:pStyle w:val="BodyText"/>
        <w:rPr>
          <w:rFonts w:ascii="Symbola"/>
          <w:sz w:val="20"/>
        </w:rPr>
      </w:pPr>
    </w:p>
    <w:p>
      <w:pPr>
        <w:pStyle w:val="BodyText"/>
        <w:spacing w:line="360" w:lineRule="auto" w:before="208"/>
        <w:ind w:left="300"/>
      </w:pPr>
      <w:r>
        <w:rPr/>
        <w:t>R</w:t>
      </w:r>
      <w:r>
        <w:rPr>
          <w:vertAlign w:val="subscript"/>
        </w:rPr>
        <w:t>f</w:t>
      </w:r>
      <w:r>
        <w:rPr>
          <w:vertAlign w:val="baseline"/>
        </w:rPr>
        <w:t> value is characterstic to the molecule as long as the solvent system and TLC plate remains unchanged. It can be used to identify the substance in a crude mixture.</w:t>
      </w:r>
    </w:p>
    <w:p>
      <w:pPr>
        <w:pStyle w:val="BodyText"/>
        <w:spacing w:before="8"/>
        <w:rPr>
          <w:sz w:val="14"/>
        </w:rPr>
      </w:pPr>
      <w:r>
        <w:rPr/>
        <w:drawing>
          <wp:anchor distT="0" distB="0" distL="0" distR="0" allowOverlap="1" layoutInCell="1" locked="0" behindDoc="0" simplePos="0" relativeHeight="340">
            <wp:simplePos x="0" y="0"/>
            <wp:positionH relativeFrom="page">
              <wp:posOffset>1546923</wp:posOffset>
            </wp:positionH>
            <wp:positionV relativeFrom="paragraph">
              <wp:posOffset>132208</wp:posOffset>
            </wp:positionV>
            <wp:extent cx="4471510" cy="5084064"/>
            <wp:effectExtent l="0" t="0" r="0" b="0"/>
            <wp:wrapTopAndBottom/>
            <wp:docPr id="375" name="image192.png"/>
            <wp:cNvGraphicFramePr>
              <a:graphicFrameLocks noChangeAspect="1"/>
            </wp:cNvGraphicFramePr>
            <a:graphic>
              <a:graphicData uri="http://schemas.openxmlformats.org/drawingml/2006/picture">
                <pic:pic>
                  <pic:nvPicPr>
                    <pic:cNvPr id="376" name="image192.png"/>
                    <pic:cNvPicPr/>
                  </pic:nvPicPr>
                  <pic:blipFill>
                    <a:blip r:embed="rId206" cstate="print"/>
                    <a:stretch>
                      <a:fillRect/>
                    </a:stretch>
                  </pic:blipFill>
                  <pic:spPr>
                    <a:xfrm>
                      <a:off x="0" y="0"/>
                      <a:ext cx="4471510" cy="5084064"/>
                    </a:xfrm>
                    <a:prstGeom prst="rect">
                      <a:avLst/>
                    </a:prstGeom>
                  </pic:spPr>
                </pic:pic>
              </a:graphicData>
            </a:graphic>
          </wp:anchor>
        </w:drawing>
      </w:r>
    </w:p>
    <w:p>
      <w:pPr>
        <w:pStyle w:val="BodyText"/>
        <w:spacing w:before="1"/>
        <w:rPr>
          <w:sz w:val="28"/>
        </w:rPr>
      </w:pPr>
    </w:p>
    <w:p>
      <w:pPr>
        <w:spacing w:before="0"/>
        <w:ind w:left="598" w:right="617" w:firstLine="0"/>
        <w:jc w:val="center"/>
        <w:rPr>
          <w:b/>
          <w:sz w:val="16"/>
        </w:rPr>
      </w:pPr>
      <w:r>
        <w:rPr>
          <w:b/>
          <w:sz w:val="16"/>
        </w:rPr>
        <w:t>Figure 37.1: Principle of thin layer chromatography.</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7"/>
        <w:jc w:val="both"/>
      </w:pPr>
      <w:r>
        <w:rPr>
          <w:b/>
        </w:rPr>
        <w:t>Operation of the technique-</w:t>
      </w:r>
      <w:r>
        <w:rPr/>
        <w:t>Several steps are required to perform a thin layer chromatography to analyze a complex samples. These preparatory and operational steps are as follows:</w:t>
      </w:r>
    </w:p>
    <w:p>
      <w:pPr>
        <w:pStyle w:val="BodyText"/>
        <w:spacing w:line="360" w:lineRule="auto" w:before="201"/>
        <w:ind w:left="300" w:right="311"/>
        <w:jc w:val="both"/>
      </w:pPr>
      <w:r>
        <w:rPr>
          <w:b/>
        </w:rPr>
        <w:t>Thin Layer Chromatography Chamber- </w:t>
      </w:r>
      <w:r>
        <w:rPr/>
        <w:t>Thin layer chromatographjy chamber (rectangular or cylindrical) is made up of transparent non-reactive material, mostly glass (Figure 37.2). It is covered from top with a thick glass sheet and the joints are sealed with a high vacuum grease to avoid loss of solvent vapor. All three sides of the chamber is covered with a whatman filter paper to uniformly equilibrate the chamber. A solvent system is filled in the chamber and it is allowed to humidify the chamber with the solvent vapor. It is important for uniform running of solvent front during TLC.</w:t>
      </w:r>
    </w:p>
    <w:p>
      <w:pPr>
        <w:pStyle w:val="BodyText"/>
        <w:spacing w:line="360" w:lineRule="auto" w:before="199"/>
        <w:ind w:left="300" w:right="313"/>
        <w:jc w:val="both"/>
      </w:pPr>
      <w:r>
        <w:rPr>
          <w:b/>
        </w:rPr>
        <w:t>Preparation of TLC plate- </w:t>
      </w:r>
      <w:r>
        <w:rPr/>
        <w:t>A silica slurry is prepared in water and spread on the glass or alumina sheet as a thin layer and allowed to dry. It is baked at 110</w:t>
      </w:r>
      <w:r>
        <w:rPr>
          <w:vertAlign w:val="superscript"/>
        </w:rPr>
        <w:t>0</w:t>
      </w:r>
      <w:r>
        <w:rPr>
          <w:vertAlign w:val="baseline"/>
        </w:rPr>
        <w:t>C for 1hr in a hot air oven and then the plate is ready for TLC. The layer is thin (~ 0.1-0.25  mm) for analytical application and thick (0.4-2.1 mm) for preparative or bio-assay purposes.</w:t>
      </w:r>
    </w:p>
    <w:p>
      <w:pPr>
        <w:pStyle w:val="BodyText"/>
        <w:spacing w:before="7"/>
        <w:rPr>
          <w:sz w:val="14"/>
        </w:rPr>
      </w:pPr>
      <w:r>
        <w:rPr/>
        <w:drawing>
          <wp:anchor distT="0" distB="0" distL="0" distR="0" allowOverlap="1" layoutInCell="1" locked="0" behindDoc="0" simplePos="0" relativeHeight="342">
            <wp:simplePos x="0" y="0"/>
            <wp:positionH relativeFrom="page">
              <wp:posOffset>1165274</wp:posOffset>
            </wp:positionH>
            <wp:positionV relativeFrom="paragraph">
              <wp:posOffset>131605</wp:posOffset>
            </wp:positionV>
            <wp:extent cx="5234501" cy="3401567"/>
            <wp:effectExtent l="0" t="0" r="0" b="0"/>
            <wp:wrapTopAndBottom/>
            <wp:docPr id="377" name="image193.png"/>
            <wp:cNvGraphicFramePr>
              <a:graphicFrameLocks noChangeAspect="1"/>
            </wp:cNvGraphicFramePr>
            <a:graphic>
              <a:graphicData uri="http://schemas.openxmlformats.org/drawingml/2006/picture">
                <pic:pic>
                  <pic:nvPicPr>
                    <pic:cNvPr id="378" name="image193.png"/>
                    <pic:cNvPicPr/>
                  </pic:nvPicPr>
                  <pic:blipFill>
                    <a:blip r:embed="rId207" cstate="print"/>
                    <a:stretch>
                      <a:fillRect/>
                    </a:stretch>
                  </pic:blipFill>
                  <pic:spPr>
                    <a:xfrm>
                      <a:off x="0" y="0"/>
                      <a:ext cx="5234501" cy="3401567"/>
                    </a:xfrm>
                    <a:prstGeom prst="rect">
                      <a:avLst/>
                    </a:prstGeom>
                  </pic:spPr>
                </pic:pic>
              </a:graphicData>
            </a:graphic>
          </wp:anchor>
        </w:drawing>
      </w:r>
    </w:p>
    <w:p>
      <w:pPr>
        <w:spacing w:before="207"/>
        <w:ind w:left="596" w:right="617" w:firstLine="0"/>
        <w:jc w:val="center"/>
        <w:rPr>
          <w:b/>
          <w:sz w:val="16"/>
        </w:rPr>
      </w:pPr>
      <w:r>
        <w:rPr>
          <w:b/>
          <w:sz w:val="16"/>
        </w:rPr>
        <w:t>Figure 37.2: Thin Layer chromatography chamber</w:t>
      </w:r>
    </w:p>
    <w:p>
      <w:pPr>
        <w:spacing w:after="0"/>
        <w:jc w:val="center"/>
        <w:rPr>
          <w:sz w:val="16"/>
        </w:rPr>
        <w:sectPr>
          <w:pgSz w:w="11910" w:h="16840"/>
          <w:pgMar w:header="722" w:footer="748" w:top="1300" w:bottom="940" w:left="1500" w:right="1480"/>
        </w:sectPr>
      </w:pPr>
    </w:p>
    <w:p>
      <w:pPr>
        <w:pStyle w:val="BodyText"/>
        <w:spacing w:line="360" w:lineRule="auto" w:before="119"/>
        <w:ind w:left="299" w:right="317"/>
        <w:jc w:val="both"/>
      </w:pPr>
      <w:r>
        <w:rPr>
          <w:b/>
        </w:rPr>
        <w:t>Spoting: </w:t>
      </w:r>
      <w:r>
        <w:rPr/>
        <w:t>The events involved in spotting is given in Figure 37.3. A line is draw with a pencil little away from the bottom. Sample is taken into the capillary tube or in a pipette. Capillary is touched onto the silica plate and sample is allowed to dispense. It is important that depending on the thickness of the layer, a suitable volume should be taken to apply. Spot is allowed to dry in air or a hair dryer can be used instead.</w:t>
      </w:r>
    </w:p>
    <w:p>
      <w:pPr>
        <w:pStyle w:val="BodyText"/>
        <w:spacing w:before="6"/>
        <w:rPr>
          <w:sz w:val="14"/>
        </w:rPr>
      </w:pPr>
      <w:r>
        <w:rPr/>
        <w:drawing>
          <wp:anchor distT="0" distB="0" distL="0" distR="0" allowOverlap="1" layoutInCell="1" locked="0" behindDoc="0" simplePos="0" relativeHeight="343">
            <wp:simplePos x="0" y="0"/>
            <wp:positionH relativeFrom="page">
              <wp:posOffset>1327238</wp:posOffset>
            </wp:positionH>
            <wp:positionV relativeFrom="paragraph">
              <wp:posOffset>131373</wp:posOffset>
            </wp:positionV>
            <wp:extent cx="4932189" cy="2993136"/>
            <wp:effectExtent l="0" t="0" r="0" b="0"/>
            <wp:wrapTopAndBottom/>
            <wp:docPr id="379" name="image194.png"/>
            <wp:cNvGraphicFramePr>
              <a:graphicFrameLocks noChangeAspect="1"/>
            </wp:cNvGraphicFramePr>
            <a:graphic>
              <a:graphicData uri="http://schemas.openxmlformats.org/drawingml/2006/picture">
                <pic:pic>
                  <pic:nvPicPr>
                    <pic:cNvPr id="380" name="image194.png"/>
                    <pic:cNvPicPr/>
                  </pic:nvPicPr>
                  <pic:blipFill>
                    <a:blip r:embed="rId208" cstate="print"/>
                    <a:stretch>
                      <a:fillRect/>
                    </a:stretch>
                  </pic:blipFill>
                  <pic:spPr>
                    <a:xfrm>
                      <a:off x="0" y="0"/>
                      <a:ext cx="4932189" cy="2993136"/>
                    </a:xfrm>
                    <a:prstGeom prst="rect">
                      <a:avLst/>
                    </a:prstGeom>
                  </pic:spPr>
                </pic:pic>
              </a:graphicData>
            </a:graphic>
          </wp:anchor>
        </w:drawing>
      </w:r>
    </w:p>
    <w:p>
      <w:pPr>
        <w:pStyle w:val="BodyText"/>
        <w:spacing w:before="1"/>
        <w:rPr>
          <w:sz w:val="28"/>
        </w:rPr>
      </w:pPr>
    </w:p>
    <w:p>
      <w:pPr>
        <w:spacing w:before="0"/>
        <w:ind w:left="600" w:right="617" w:firstLine="0"/>
        <w:jc w:val="center"/>
        <w:rPr>
          <w:b/>
          <w:sz w:val="16"/>
        </w:rPr>
      </w:pPr>
      <w:r>
        <w:rPr>
          <w:b/>
          <w:sz w:val="16"/>
        </w:rPr>
        <w:t>Figure 37.3: Events in spotting during thin layer chromatography.</w:t>
      </w:r>
    </w:p>
    <w:p>
      <w:pPr>
        <w:pStyle w:val="BodyText"/>
        <w:rPr>
          <w:b/>
          <w:sz w:val="18"/>
        </w:rPr>
      </w:pPr>
    </w:p>
    <w:p>
      <w:pPr>
        <w:pStyle w:val="BodyText"/>
        <w:spacing w:before="6"/>
        <w:rPr>
          <w:b/>
          <w:sz w:val="18"/>
        </w:rPr>
      </w:pPr>
    </w:p>
    <w:p>
      <w:pPr>
        <w:pStyle w:val="BodyText"/>
        <w:spacing w:line="360" w:lineRule="auto"/>
        <w:ind w:left="300" w:right="318"/>
        <w:jc w:val="both"/>
      </w:pPr>
      <w:r>
        <w:rPr>
          <w:b/>
        </w:rPr>
        <w:t>Running of the TLC: </w:t>
      </w:r>
      <w:r>
        <w:rPr/>
        <w:t>Once the spot is dried, it is placed in the TLC chamber in such a way that spot should not be below the solvent level. Solvent front is allowed to move until the end of the</w:t>
      </w:r>
      <w:r>
        <w:rPr>
          <w:spacing w:val="-3"/>
        </w:rPr>
        <w:t> </w:t>
      </w:r>
      <w:r>
        <w:rPr/>
        <w:t>plate.</w:t>
      </w:r>
    </w:p>
    <w:p>
      <w:pPr>
        <w:pStyle w:val="BodyText"/>
        <w:spacing w:line="360" w:lineRule="auto" w:before="201"/>
        <w:ind w:left="300" w:right="318"/>
        <w:jc w:val="both"/>
      </w:pPr>
      <w:r>
        <w:rPr>
          <w:b/>
        </w:rPr>
        <w:t>Analysis of the chromatography plate- </w:t>
      </w:r>
      <w:r>
        <w:rPr/>
        <w:t>The plate is taken out from the chamber and air dried. If the compound is colored, it forms spot and for these substances there is no additional staining required. There are two methods of developing a chromatogram-</w:t>
      </w:r>
    </w:p>
    <w:p>
      <w:pPr>
        <w:pStyle w:val="BodyText"/>
        <w:spacing w:line="360" w:lineRule="auto" w:before="201"/>
        <w:ind w:left="299" w:right="318"/>
        <w:jc w:val="both"/>
      </w:pPr>
      <w:r>
        <w:rPr>
          <w:b/>
        </w:rPr>
        <w:t>Staining procedure- </w:t>
      </w:r>
      <w:r>
        <w:rPr/>
        <w:t>In the staining procedure, TLC plate is sprayed with the staining reagent to stain the functional group present in the compound. Forx. Ninhydrin is used to stain amino acids.</w:t>
      </w:r>
    </w:p>
    <w:p>
      <w:pPr>
        <w:spacing w:after="0" w:line="360" w:lineRule="auto"/>
        <w:jc w:val="both"/>
        <w:sectPr>
          <w:pgSz w:w="11910" w:h="16840"/>
          <w:pgMar w:header="722" w:footer="748" w:top="1300" w:bottom="940" w:left="1500" w:right="1480"/>
        </w:sectPr>
      </w:pPr>
    </w:p>
    <w:p>
      <w:pPr>
        <w:spacing w:line="360" w:lineRule="auto" w:before="119"/>
        <w:ind w:left="300" w:right="313" w:firstLine="0"/>
        <w:jc w:val="both"/>
        <w:rPr>
          <w:sz w:val="24"/>
        </w:rPr>
      </w:pPr>
      <w:r>
        <w:rPr>
          <w:b/>
          <w:sz w:val="24"/>
        </w:rPr>
        <w:t>Non-staining procedure- </w:t>
      </w:r>
      <w:r>
        <w:rPr>
          <w:sz w:val="24"/>
        </w:rPr>
        <w:t>In non-staining procedure spot can be identify by following methods-</w:t>
      </w:r>
    </w:p>
    <w:p>
      <w:pPr>
        <w:pStyle w:val="ListParagraph"/>
        <w:numPr>
          <w:ilvl w:val="0"/>
          <w:numId w:val="42"/>
        </w:numPr>
        <w:tabs>
          <w:tab w:pos="548" w:val="left" w:leader="none"/>
        </w:tabs>
        <w:spacing w:line="360" w:lineRule="auto" w:before="200" w:after="0"/>
        <w:ind w:left="300" w:right="313" w:firstLine="0"/>
        <w:jc w:val="both"/>
        <w:rPr>
          <w:sz w:val="24"/>
        </w:rPr>
      </w:pPr>
      <w:r>
        <w:rPr>
          <w:b/>
          <w:sz w:val="24"/>
        </w:rPr>
        <w:t>Autoradiography- </w:t>
      </w:r>
      <w:r>
        <w:rPr>
          <w:sz w:val="24"/>
        </w:rPr>
        <w:t>A TLC plate can be placed along with the X-ray film for 48-72 hrs (exposure time depends on type and concentration of radioactivity) and then X-ray film is</w:t>
      </w:r>
      <w:r>
        <w:rPr>
          <w:spacing w:val="-1"/>
          <w:sz w:val="24"/>
        </w:rPr>
        <w:t> </w:t>
      </w:r>
      <w:r>
        <w:rPr>
          <w:sz w:val="24"/>
        </w:rPr>
        <w:t>processed.</w:t>
      </w:r>
    </w:p>
    <w:p>
      <w:pPr>
        <w:pStyle w:val="ListParagraph"/>
        <w:numPr>
          <w:ilvl w:val="0"/>
          <w:numId w:val="42"/>
        </w:numPr>
        <w:tabs>
          <w:tab w:pos="584" w:val="left" w:leader="none"/>
        </w:tabs>
        <w:spacing w:line="360" w:lineRule="auto" w:before="200" w:after="0"/>
        <w:ind w:left="300" w:right="316" w:firstLine="0"/>
        <w:jc w:val="both"/>
        <w:rPr>
          <w:sz w:val="24"/>
        </w:rPr>
      </w:pPr>
      <w:r>
        <w:rPr>
          <w:b/>
          <w:sz w:val="24"/>
        </w:rPr>
        <w:t>Fluorescence- </w:t>
      </w:r>
      <w:r>
        <w:rPr>
          <w:sz w:val="24"/>
        </w:rPr>
        <w:t>Several heterocyclic compounds give fluorescence in UV due to presence of conjugate double bond system. TLC plate can be visualized in an UV- chamber (Figure 37.4) to identify the spots on TLC</w:t>
      </w:r>
      <w:r>
        <w:rPr>
          <w:spacing w:val="-7"/>
          <w:sz w:val="24"/>
        </w:rPr>
        <w:t> </w:t>
      </w:r>
      <w:r>
        <w:rPr>
          <w:sz w:val="24"/>
        </w:rPr>
        <w:t>plate.</w:t>
      </w:r>
    </w:p>
    <w:p>
      <w:pPr>
        <w:pStyle w:val="BodyText"/>
        <w:rPr>
          <w:sz w:val="20"/>
        </w:rPr>
      </w:pPr>
    </w:p>
    <w:p>
      <w:pPr>
        <w:pStyle w:val="BodyText"/>
        <w:rPr>
          <w:sz w:val="20"/>
        </w:rPr>
      </w:pPr>
    </w:p>
    <w:p>
      <w:pPr>
        <w:pStyle w:val="BodyText"/>
        <w:rPr>
          <w:sz w:val="28"/>
        </w:rPr>
      </w:pPr>
      <w:r>
        <w:rPr/>
        <w:drawing>
          <wp:anchor distT="0" distB="0" distL="0" distR="0" allowOverlap="1" layoutInCell="1" locked="0" behindDoc="0" simplePos="0" relativeHeight="344">
            <wp:simplePos x="0" y="0"/>
            <wp:positionH relativeFrom="page">
              <wp:posOffset>1439570</wp:posOffset>
            </wp:positionH>
            <wp:positionV relativeFrom="paragraph">
              <wp:posOffset>229419</wp:posOffset>
            </wp:positionV>
            <wp:extent cx="4686204" cy="3285744"/>
            <wp:effectExtent l="0" t="0" r="0" b="0"/>
            <wp:wrapTopAndBottom/>
            <wp:docPr id="381" name="image195.png"/>
            <wp:cNvGraphicFramePr>
              <a:graphicFrameLocks noChangeAspect="1"/>
            </wp:cNvGraphicFramePr>
            <a:graphic>
              <a:graphicData uri="http://schemas.openxmlformats.org/drawingml/2006/picture">
                <pic:pic>
                  <pic:nvPicPr>
                    <pic:cNvPr id="382" name="image195.png"/>
                    <pic:cNvPicPr/>
                  </pic:nvPicPr>
                  <pic:blipFill>
                    <a:blip r:embed="rId209" cstate="print"/>
                    <a:stretch>
                      <a:fillRect/>
                    </a:stretch>
                  </pic:blipFill>
                  <pic:spPr>
                    <a:xfrm>
                      <a:off x="0" y="0"/>
                      <a:ext cx="4686204" cy="3285744"/>
                    </a:xfrm>
                    <a:prstGeom prst="rect">
                      <a:avLst/>
                    </a:prstGeom>
                  </pic:spPr>
                </pic:pic>
              </a:graphicData>
            </a:graphic>
          </wp:anchor>
        </w:drawing>
      </w:r>
    </w:p>
    <w:p>
      <w:pPr>
        <w:pStyle w:val="BodyText"/>
        <w:spacing w:before="3"/>
        <w:rPr>
          <w:sz w:val="28"/>
        </w:rPr>
      </w:pPr>
    </w:p>
    <w:p>
      <w:pPr>
        <w:spacing w:before="0"/>
        <w:ind w:left="601" w:right="617" w:firstLine="0"/>
        <w:jc w:val="center"/>
        <w:rPr>
          <w:b/>
          <w:sz w:val="16"/>
        </w:rPr>
      </w:pPr>
      <w:r>
        <w:rPr>
          <w:b/>
          <w:sz w:val="16"/>
        </w:rPr>
        <w:t>Figure 37.4: UV-Chamber and UV illuminated TLC plate.</w:t>
      </w:r>
    </w:p>
    <w:p>
      <w:pPr>
        <w:spacing w:after="0"/>
        <w:jc w:val="center"/>
        <w:rPr>
          <w:sz w:val="16"/>
        </w:rPr>
        <w:sectPr>
          <w:pgSz w:w="11910" w:h="16840"/>
          <w:pgMar w:header="722" w:footer="748" w:top="1300" w:bottom="940" w:left="1500" w:right="1480"/>
        </w:sectPr>
      </w:pPr>
    </w:p>
    <w:p>
      <w:pPr>
        <w:pStyle w:val="BodyText"/>
        <w:rPr>
          <w:b/>
          <w:sz w:val="20"/>
        </w:rPr>
      </w:pPr>
    </w:p>
    <w:p>
      <w:pPr>
        <w:pStyle w:val="BodyText"/>
        <w:rPr>
          <w:b/>
          <w:sz w:val="20"/>
        </w:rPr>
      </w:pPr>
    </w:p>
    <w:p>
      <w:pPr>
        <w:pStyle w:val="BodyText"/>
        <w:spacing w:before="5"/>
        <w:rPr>
          <w:b/>
          <w:sz w:val="16"/>
        </w:rPr>
      </w:pPr>
    </w:p>
    <w:p>
      <w:pPr>
        <w:pStyle w:val="Heading4"/>
        <w:spacing w:before="90"/>
        <w:jc w:val="left"/>
      </w:pPr>
      <w:r>
        <w:rPr/>
        <w:t>Technical troubles with thin layer chromatography-</w:t>
      </w:r>
    </w:p>
    <w:p>
      <w:pPr>
        <w:pStyle w:val="BodyText"/>
        <w:rPr>
          <w:b/>
          <w:sz w:val="29"/>
        </w:rPr>
      </w:pPr>
    </w:p>
    <w:p>
      <w:pPr>
        <w:pStyle w:val="ListParagraph"/>
        <w:numPr>
          <w:ilvl w:val="0"/>
          <w:numId w:val="43"/>
        </w:numPr>
        <w:tabs>
          <w:tab w:pos="560" w:val="left" w:leader="none"/>
        </w:tabs>
        <w:spacing w:line="360" w:lineRule="auto" w:before="0" w:after="0"/>
        <w:ind w:left="300" w:right="316" w:firstLine="0"/>
        <w:jc w:val="both"/>
        <w:rPr>
          <w:sz w:val="24"/>
        </w:rPr>
      </w:pPr>
      <w:r>
        <w:rPr>
          <w:b/>
          <w:sz w:val="24"/>
        </w:rPr>
        <w:t>Tailing effect-</w:t>
      </w:r>
      <w:r>
        <w:rPr>
          <w:sz w:val="24"/>
        </w:rPr>
        <w:t>In general sample forms round circular spot on the TLC plate. </w:t>
      </w:r>
      <w:r>
        <w:rPr>
          <w:spacing w:val="-3"/>
          <w:sz w:val="24"/>
        </w:rPr>
        <w:t>It </w:t>
      </w:r>
      <w:r>
        <w:rPr>
          <w:sz w:val="24"/>
        </w:rPr>
        <w:t>is due to the uniform movement of the solvent front through out the plate. But in few cases instead of forming a spot, a compound forms a spot with long trail or rocket shape spot (Figure 37.5). it is due to few reasons as given</w:t>
      </w:r>
      <w:r>
        <w:rPr>
          <w:spacing w:val="-4"/>
          <w:sz w:val="24"/>
        </w:rPr>
        <w:t> </w:t>
      </w:r>
      <w:r>
        <w:rPr>
          <w:sz w:val="24"/>
        </w:rPr>
        <w:t>below:</w:t>
      </w:r>
    </w:p>
    <w:p>
      <w:pPr>
        <w:pStyle w:val="BodyText"/>
        <w:rPr>
          <w:sz w:val="20"/>
        </w:rPr>
      </w:pPr>
    </w:p>
    <w:p>
      <w:pPr>
        <w:pStyle w:val="BodyText"/>
        <w:rPr>
          <w:sz w:val="20"/>
        </w:rPr>
      </w:pPr>
    </w:p>
    <w:p>
      <w:pPr>
        <w:pStyle w:val="BodyText"/>
        <w:spacing w:before="10"/>
        <w:rPr>
          <w:sz w:val="27"/>
        </w:rPr>
      </w:pPr>
      <w:r>
        <w:rPr/>
        <w:drawing>
          <wp:anchor distT="0" distB="0" distL="0" distR="0" allowOverlap="1" layoutInCell="1" locked="0" behindDoc="0" simplePos="0" relativeHeight="345">
            <wp:simplePos x="0" y="0"/>
            <wp:positionH relativeFrom="page">
              <wp:posOffset>1201083</wp:posOffset>
            </wp:positionH>
            <wp:positionV relativeFrom="paragraph">
              <wp:posOffset>228433</wp:posOffset>
            </wp:positionV>
            <wp:extent cx="5162967" cy="3547872"/>
            <wp:effectExtent l="0" t="0" r="0" b="0"/>
            <wp:wrapTopAndBottom/>
            <wp:docPr id="383" name="image196.png"/>
            <wp:cNvGraphicFramePr>
              <a:graphicFrameLocks noChangeAspect="1"/>
            </wp:cNvGraphicFramePr>
            <a:graphic>
              <a:graphicData uri="http://schemas.openxmlformats.org/drawingml/2006/picture">
                <pic:pic>
                  <pic:nvPicPr>
                    <pic:cNvPr id="384" name="image196.png"/>
                    <pic:cNvPicPr/>
                  </pic:nvPicPr>
                  <pic:blipFill>
                    <a:blip r:embed="rId210" cstate="print"/>
                    <a:stretch>
                      <a:fillRect/>
                    </a:stretch>
                  </pic:blipFill>
                  <pic:spPr>
                    <a:xfrm>
                      <a:off x="0" y="0"/>
                      <a:ext cx="5162967" cy="3547872"/>
                    </a:xfrm>
                    <a:prstGeom prst="rect">
                      <a:avLst/>
                    </a:prstGeom>
                  </pic:spPr>
                </pic:pic>
              </a:graphicData>
            </a:graphic>
          </wp:anchor>
        </w:drawing>
      </w:r>
    </w:p>
    <w:p>
      <w:pPr>
        <w:spacing w:before="207"/>
        <w:ind w:left="601" w:right="617" w:firstLine="0"/>
        <w:jc w:val="center"/>
        <w:rPr>
          <w:b/>
          <w:sz w:val="16"/>
        </w:rPr>
      </w:pPr>
      <w:r>
        <w:rPr>
          <w:b/>
          <w:sz w:val="16"/>
        </w:rPr>
        <w:t>Figure 37.5: Tailing effect in thin layer chromatography.</w:t>
      </w:r>
    </w:p>
    <w:p>
      <w:pPr>
        <w:pStyle w:val="BodyText"/>
        <w:rPr>
          <w:b/>
          <w:sz w:val="18"/>
        </w:rPr>
      </w:pPr>
    </w:p>
    <w:p>
      <w:pPr>
        <w:pStyle w:val="BodyText"/>
        <w:rPr>
          <w:b/>
          <w:sz w:val="18"/>
        </w:rPr>
      </w:pPr>
    </w:p>
    <w:p>
      <w:pPr>
        <w:pStyle w:val="BodyText"/>
        <w:spacing w:before="2"/>
        <w:rPr>
          <w:b/>
          <w:sz w:val="19"/>
        </w:rPr>
      </w:pPr>
    </w:p>
    <w:p>
      <w:pPr>
        <w:pStyle w:val="ListParagraph"/>
        <w:numPr>
          <w:ilvl w:val="1"/>
          <w:numId w:val="43"/>
        </w:numPr>
        <w:tabs>
          <w:tab w:pos="603" w:val="left" w:leader="none"/>
        </w:tabs>
        <w:spacing w:line="360" w:lineRule="auto" w:before="0" w:after="0"/>
        <w:ind w:left="300" w:right="317" w:firstLine="0"/>
        <w:jc w:val="both"/>
        <w:rPr>
          <w:sz w:val="24"/>
        </w:rPr>
      </w:pPr>
      <w:r>
        <w:rPr>
          <w:b/>
          <w:sz w:val="24"/>
        </w:rPr>
        <w:t>Over-loading- </w:t>
      </w:r>
      <w:r>
        <w:rPr>
          <w:sz w:val="24"/>
        </w:rPr>
        <w:t>if the sample is loaded much more than the loading capacity of the TLC plate, it appears as spot with trail or rocket shape spot. A diluted sample can be tested to avoid</w:t>
      </w:r>
      <w:r>
        <w:rPr>
          <w:spacing w:val="-1"/>
          <w:sz w:val="24"/>
        </w:rPr>
        <w:t> </w:t>
      </w:r>
      <w:r>
        <w:rPr>
          <w:sz w:val="24"/>
        </w:rPr>
        <w:t>this.</w:t>
      </w:r>
    </w:p>
    <w:p>
      <w:pPr>
        <w:pStyle w:val="ListParagraph"/>
        <w:numPr>
          <w:ilvl w:val="1"/>
          <w:numId w:val="43"/>
        </w:numPr>
        <w:tabs>
          <w:tab w:pos="634" w:val="left" w:leader="none"/>
        </w:tabs>
        <w:spacing w:line="360" w:lineRule="auto" w:before="201" w:after="0"/>
        <w:ind w:left="299" w:right="315" w:firstLine="0"/>
        <w:jc w:val="both"/>
        <w:rPr>
          <w:sz w:val="24"/>
        </w:rPr>
      </w:pPr>
      <w:r>
        <w:rPr>
          <w:b/>
          <w:sz w:val="24"/>
        </w:rPr>
        <w:t>Fluctuation in temp or opening of chamber- </w:t>
      </w:r>
      <w:r>
        <w:rPr>
          <w:sz w:val="24"/>
        </w:rPr>
        <w:t>If there will be fluntuation in temperature or solvent saturation in the chamber (due to opening of the chamber during running), it disturb the flow of solvent front and consequently cause spot with trail. it can be avoided by maintaining a uniform temperature and the opening of the chamber should be minimized especially during</w:t>
      </w:r>
      <w:r>
        <w:rPr>
          <w:spacing w:val="-8"/>
          <w:sz w:val="24"/>
        </w:rPr>
        <w:t> </w:t>
      </w:r>
      <w:r>
        <w:rPr>
          <w:sz w:val="24"/>
        </w:rPr>
        <w:t>running.</w:t>
      </w:r>
    </w:p>
    <w:p>
      <w:pPr>
        <w:spacing w:after="0" w:line="360" w:lineRule="auto"/>
        <w:jc w:val="both"/>
        <w:rPr>
          <w:sz w:val="24"/>
        </w:rPr>
        <w:sectPr>
          <w:pgSz w:w="11910" w:h="16840"/>
          <w:pgMar w:header="722" w:footer="748" w:top="1300" w:bottom="940" w:left="1500" w:right="1480"/>
        </w:sectPr>
      </w:pPr>
    </w:p>
    <w:p>
      <w:pPr>
        <w:pStyle w:val="ListParagraph"/>
        <w:numPr>
          <w:ilvl w:val="0"/>
          <w:numId w:val="43"/>
        </w:numPr>
        <w:tabs>
          <w:tab w:pos="548" w:val="left" w:leader="none"/>
        </w:tabs>
        <w:spacing w:line="360" w:lineRule="auto" w:before="119" w:after="0"/>
        <w:ind w:left="300" w:right="317" w:firstLine="0"/>
        <w:jc w:val="both"/>
        <w:rPr>
          <w:sz w:val="24"/>
        </w:rPr>
      </w:pPr>
      <w:r>
        <w:rPr>
          <w:b/>
          <w:sz w:val="24"/>
        </w:rPr>
        <w:t>No movement of sample- </w:t>
      </w:r>
      <w:r>
        <w:rPr>
          <w:sz w:val="24"/>
        </w:rPr>
        <w:t>In few cases, a sample doesn’t move from the spot after the run is completed. These problems are common with high molecular weight substances such as protein or chemicals with large number of functional group. In this case, a change in polarity or pH of solvent system can be explored to bring the compound into the solvent front so that it run on silica plate to get</w:t>
      </w:r>
      <w:r>
        <w:rPr>
          <w:spacing w:val="-8"/>
          <w:sz w:val="24"/>
        </w:rPr>
        <w:t> </w:t>
      </w:r>
      <w:r>
        <w:rPr>
          <w:sz w:val="24"/>
        </w:rPr>
        <w:t>resolved.</w:t>
      </w:r>
    </w:p>
    <w:p>
      <w:pPr>
        <w:pStyle w:val="ListParagraph"/>
        <w:numPr>
          <w:ilvl w:val="0"/>
          <w:numId w:val="43"/>
        </w:numPr>
        <w:tabs>
          <w:tab w:pos="560" w:val="left" w:leader="none"/>
        </w:tabs>
        <w:spacing w:line="360" w:lineRule="auto" w:before="201" w:after="0"/>
        <w:ind w:left="300" w:right="318" w:firstLine="0"/>
        <w:jc w:val="both"/>
        <w:rPr>
          <w:sz w:val="24"/>
        </w:rPr>
      </w:pPr>
      <w:r>
        <w:rPr>
          <w:b/>
          <w:sz w:val="24"/>
        </w:rPr>
        <w:t>Movement is too fast-</w:t>
      </w:r>
      <w:r>
        <w:rPr>
          <w:sz w:val="24"/>
        </w:rPr>
        <w:t>In few cases, the movement of a compound is too fast and does not give time to interact with the matrix to resolve into individual compounds. </w:t>
      </w:r>
      <w:r>
        <w:rPr>
          <w:spacing w:val="-3"/>
          <w:sz w:val="24"/>
        </w:rPr>
        <w:t>In </w:t>
      </w:r>
      <w:r>
        <w:rPr>
          <w:sz w:val="24"/>
        </w:rPr>
        <w:t>this case, a change in polarity of solvent system can be explored to retard the running of the</w:t>
      </w:r>
      <w:r>
        <w:rPr>
          <w:spacing w:val="-3"/>
          <w:sz w:val="24"/>
        </w:rPr>
        <w:t> </w:t>
      </w:r>
      <w:r>
        <w:rPr>
          <w:sz w:val="24"/>
        </w:rPr>
        <w:t>sample.</w:t>
      </w:r>
    </w:p>
    <w:p>
      <w:pPr>
        <w:pStyle w:val="Heading4"/>
        <w:spacing w:before="204"/>
      </w:pPr>
      <w:r>
        <w:rPr/>
        <w:t>Applications of Thin layer Chromatography</w:t>
      </w:r>
    </w:p>
    <w:p>
      <w:pPr>
        <w:pStyle w:val="BodyText"/>
        <w:spacing w:before="7"/>
        <w:rPr>
          <w:b/>
          <w:sz w:val="20"/>
        </w:rPr>
      </w:pPr>
    </w:p>
    <w:p>
      <w:pPr>
        <w:pStyle w:val="ListParagraph"/>
        <w:numPr>
          <w:ilvl w:val="0"/>
          <w:numId w:val="44"/>
        </w:numPr>
        <w:tabs>
          <w:tab w:pos="540" w:val="left" w:leader="none"/>
        </w:tabs>
        <w:spacing w:line="240" w:lineRule="auto" w:before="1" w:after="0"/>
        <w:ind w:left="540" w:right="0" w:hanging="240"/>
        <w:jc w:val="left"/>
        <w:rPr>
          <w:sz w:val="24"/>
        </w:rPr>
      </w:pPr>
      <w:r>
        <w:rPr>
          <w:sz w:val="24"/>
        </w:rPr>
        <w:t>Composition analysis of biomolecules/synthetic</w:t>
      </w:r>
      <w:r>
        <w:rPr>
          <w:spacing w:val="-2"/>
          <w:sz w:val="24"/>
        </w:rPr>
        <w:t> </w:t>
      </w:r>
      <w:r>
        <w:rPr>
          <w:sz w:val="24"/>
        </w:rPr>
        <w:t>preparation</w:t>
      </w:r>
    </w:p>
    <w:p>
      <w:pPr>
        <w:pStyle w:val="BodyText"/>
        <w:spacing w:before="10"/>
        <w:rPr>
          <w:sz w:val="20"/>
        </w:rPr>
      </w:pPr>
    </w:p>
    <w:p>
      <w:pPr>
        <w:pStyle w:val="ListParagraph"/>
        <w:numPr>
          <w:ilvl w:val="0"/>
          <w:numId w:val="44"/>
        </w:numPr>
        <w:tabs>
          <w:tab w:pos="540" w:val="left" w:leader="none"/>
        </w:tabs>
        <w:spacing w:line="240" w:lineRule="auto" w:before="0" w:after="0"/>
        <w:ind w:left="540" w:right="0" w:hanging="240"/>
        <w:jc w:val="left"/>
        <w:rPr>
          <w:sz w:val="24"/>
        </w:rPr>
      </w:pPr>
      <w:r>
        <w:rPr>
          <w:sz w:val="24"/>
        </w:rPr>
        <w:t>Quality testing of</w:t>
      </w:r>
      <w:r>
        <w:rPr>
          <w:spacing w:val="-9"/>
          <w:sz w:val="24"/>
        </w:rPr>
        <w:t> </w:t>
      </w:r>
      <w:r>
        <w:rPr>
          <w:sz w:val="24"/>
        </w:rPr>
        <w:t>compound.</w:t>
      </w:r>
    </w:p>
    <w:p>
      <w:pPr>
        <w:pStyle w:val="BodyText"/>
        <w:rPr>
          <w:sz w:val="21"/>
        </w:rPr>
      </w:pPr>
    </w:p>
    <w:p>
      <w:pPr>
        <w:pStyle w:val="ListParagraph"/>
        <w:numPr>
          <w:ilvl w:val="0"/>
          <w:numId w:val="44"/>
        </w:numPr>
        <w:tabs>
          <w:tab w:pos="543" w:val="left" w:leader="none"/>
        </w:tabs>
        <w:spacing w:line="240" w:lineRule="auto" w:before="1" w:after="0"/>
        <w:ind w:left="542" w:right="0" w:hanging="243"/>
        <w:jc w:val="left"/>
        <w:rPr>
          <w:sz w:val="24"/>
        </w:rPr>
      </w:pPr>
      <w:r>
        <w:rPr>
          <w:sz w:val="24"/>
        </w:rPr>
        <w:t>Identification of impurities in a</w:t>
      </w:r>
      <w:r>
        <w:rPr>
          <w:spacing w:val="-3"/>
          <w:sz w:val="24"/>
        </w:rPr>
        <w:t> </w:t>
      </w:r>
      <w:r>
        <w:rPr>
          <w:sz w:val="24"/>
        </w:rPr>
        <w:t>sample</w:t>
      </w:r>
    </w:p>
    <w:p>
      <w:pPr>
        <w:pStyle w:val="BodyText"/>
        <w:spacing w:before="10"/>
        <w:rPr>
          <w:sz w:val="20"/>
        </w:rPr>
      </w:pPr>
    </w:p>
    <w:p>
      <w:pPr>
        <w:pStyle w:val="ListParagraph"/>
        <w:numPr>
          <w:ilvl w:val="0"/>
          <w:numId w:val="44"/>
        </w:numPr>
        <w:tabs>
          <w:tab w:pos="540" w:val="left" w:leader="none"/>
        </w:tabs>
        <w:spacing w:line="240" w:lineRule="auto" w:before="0" w:after="0"/>
        <w:ind w:left="540" w:right="0" w:hanging="240"/>
        <w:jc w:val="left"/>
        <w:rPr>
          <w:sz w:val="24"/>
        </w:rPr>
      </w:pPr>
      <w:r>
        <w:rPr>
          <w:sz w:val="24"/>
        </w:rPr>
        <w:t>Progress of chemical</w:t>
      </w:r>
      <w:r>
        <w:rPr>
          <w:spacing w:val="-2"/>
          <w:sz w:val="24"/>
        </w:rPr>
        <w:t> </w:t>
      </w:r>
      <w:r>
        <w:rPr>
          <w:sz w:val="24"/>
        </w:rPr>
        <w:t>reaction</w:t>
      </w:r>
    </w:p>
    <w:p>
      <w:pPr>
        <w:pStyle w:val="BodyText"/>
        <w:rPr>
          <w:sz w:val="21"/>
        </w:rPr>
      </w:pPr>
    </w:p>
    <w:p>
      <w:pPr>
        <w:pStyle w:val="ListParagraph"/>
        <w:numPr>
          <w:ilvl w:val="0"/>
          <w:numId w:val="44"/>
        </w:numPr>
        <w:tabs>
          <w:tab w:pos="540" w:val="left" w:leader="none"/>
        </w:tabs>
        <w:spacing w:line="240" w:lineRule="auto" w:before="1" w:after="0"/>
        <w:ind w:left="540" w:right="0" w:hanging="240"/>
        <w:jc w:val="left"/>
        <w:rPr>
          <w:sz w:val="24"/>
        </w:rPr>
      </w:pPr>
      <w:r>
        <w:rPr>
          <w:sz w:val="24"/>
        </w:rPr>
        <w:t>Estimation of</w:t>
      </w:r>
      <w:r>
        <w:rPr>
          <w:spacing w:val="-2"/>
          <w:sz w:val="24"/>
        </w:rPr>
        <w:t> </w:t>
      </w:r>
      <w:r>
        <w:rPr>
          <w:sz w:val="24"/>
        </w:rPr>
        <w:t>biomolecules</w:t>
      </w:r>
    </w:p>
    <w:p>
      <w:pPr>
        <w:pStyle w:val="BodyText"/>
        <w:spacing w:before="10"/>
        <w:rPr>
          <w:sz w:val="20"/>
        </w:rPr>
      </w:pPr>
    </w:p>
    <w:p>
      <w:pPr>
        <w:pStyle w:val="ListParagraph"/>
        <w:numPr>
          <w:ilvl w:val="0"/>
          <w:numId w:val="44"/>
        </w:numPr>
        <w:tabs>
          <w:tab w:pos="540" w:val="left" w:leader="none"/>
        </w:tabs>
        <w:spacing w:line="240" w:lineRule="auto" w:before="0" w:after="0"/>
        <w:ind w:left="540" w:right="0" w:hanging="240"/>
        <w:jc w:val="left"/>
        <w:rPr>
          <w:sz w:val="24"/>
        </w:rPr>
      </w:pPr>
      <w:r>
        <w:rPr>
          <w:sz w:val="24"/>
        </w:rPr>
        <w:t>Bio-assay</w:t>
      </w:r>
    </w:p>
    <w:p>
      <w:pPr>
        <w:spacing w:after="0" w:line="240" w:lineRule="auto"/>
        <w:jc w:val="left"/>
        <w:rPr>
          <w:sz w:val="24"/>
        </w:rPr>
        <w:sectPr>
          <w:pgSz w:w="11910" w:h="16840"/>
          <w:pgMar w:header="722" w:footer="748" w:top="1300" w:bottom="940" w:left="1500" w:right="1480"/>
        </w:sectPr>
      </w:pPr>
    </w:p>
    <w:p>
      <w:pPr>
        <w:spacing w:before="124"/>
        <w:ind w:left="300" w:right="0" w:firstLine="0"/>
        <w:jc w:val="left"/>
        <w:rPr>
          <w:b/>
          <w:sz w:val="32"/>
        </w:rPr>
      </w:pPr>
      <w:r>
        <w:rPr>
          <w:b/>
          <w:sz w:val="32"/>
        </w:rPr>
        <w:t>Module 6 Bioinformatics tools</w:t>
      </w:r>
    </w:p>
    <w:p>
      <w:pPr>
        <w:spacing w:line="276" w:lineRule="auto" w:before="256"/>
        <w:ind w:left="299" w:right="786" w:firstLine="0"/>
        <w:jc w:val="left"/>
        <w:rPr>
          <w:b/>
          <w:sz w:val="32"/>
        </w:rPr>
      </w:pPr>
      <w:r>
        <w:rPr>
          <w:b/>
          <w:sz w:val="32"/>
        </w:rPr>
        <w:t>Lecture 38 Analysis of protein and nucleic acid sequences (Part-I)</w:t>
      </w:r>
    </w:p>
    <w:p>
      <w:pPr>
        <w:pStyle w:val="BodyText"/>
        <w:spacing w:line="360" w:lineRule="auto" w:before="195"/>
        <w:ind w:left="300" w:right="314"/>
        <w:jc w:val="both"/>
      </w:pPr>
      <w:r>
        <w:rPr>
          <w:b/>
        </w:rPr>
        <w:t>Introduction-</w:t>
      </w:r>
      <w:r>
        <w:rPr/>
        <w:t>The genetic information is stored in DNA present in the nucleus and transfer from one generation to other generation. DNA transfers the information to the messenger RNA (mRNA) by the process of transcription. The correct transfer of information is ensured by the complementary base pairing between nucleotide present on DNA and mRNA. The mRNA transfer this information in the form of protein by the process of translation. DNA is madeup of 4 different types of nucleotides (A, T, G, C) and triplet of nucletide (codes) is responsible for coding for amino acid present in the protein. </w:t>
      </w:r>
      <w:r>
        <w:rPr>
          <w:spacing w:val="-3"/>
        </w:rPr>
        <w:t>It </w:t>
      </w:r>
      <w:r>
        <w:rPr/>
        <w:t>is made up of different types of amino acids and composition of protein is determined by the DNA sequence (Figure 38.1). Hence, the sequence of nucleotide bases as well as amino acid sequence of a protein has wealth of information used to understand structure and function of the macromolecule. In the current lecture we will discuss the analysis of protein and DNA sequence and conclusion drawn from the sequence</w:t>
      </w:r>
      <w:r>
        <w:rPr>
          <w:spacing w:val="-1"/>
        </w:rPr>
        <w:t> </w:t>
      </w:r>
      <w:r>
        <w:rPr/>
        <w:t>information.</w:t>
      </w:r>
    </w:p>
    <w:p>
      <w:pPr>
        <w:pStyle w:val="BodyText"/>
        <w:spacing w:before="6"/>
        <w:rPr>
          <w:sz w:val="14"/>
        </w:rPr>
      </w:pPr>
      <w:r>
        <w:rPr/>
        <w:drawing>
          <wp:anchor distT="0" distB="0" distL="0" distR="0" allowOverlap="1" layoutInCell="1" locked="0" behindDoc="0" simplePos="0" relativeHeight="346">
            <wp:simplePos x="0" y="0"/>
            <wp:positionH relativeFrom="page">
              <wp:posOffset>1304544</wp:posOffset>
            </wp:positionH>
            <wp:positionV relativeFrom="paragraph">
              <wp:posOffset>130918</wp:posOffset>
            </wp:positionV>
            <wp:extent cx="4976721" cy="3517392"/>
            <wp:effectExtent l="0" t="0" r="0" b="0"/>
            <wp:wrapTopAndBottom/>
            <wp:docPr id="385" name="image197.png"/>
            <wp:cNvGraphicFramePr>
              <a:graphicFrameLocks noChangeAspect="1"/>
            </wp:cNvGraphicFramePr>
            <a:graphic>
              <a:graphicData uri="http://schemas.openxmlformats.org/drawingml/2006/picture">
                <pic:pic>
                  <pic:nvPicPr>
                    <pic:cNvPr id="386" name="image197.png"/>
                    <pic:cNvPicPr/>
                  </pic:nvPicPr>
                  <pic:blipFill>
                    <a:blip r:embed="rId213" cstate="print"/>
                    <a:stretch>
                      <a:fillRect/>
                    </a:stretch>
                  </pic:blipFill>
                  <pic:spPr>
                    <a:xfrm>
                      <a:off x="0" y="0"/>
                      <a:ext cx="4976721" cy="3517392"/>
                    </a:xfrm>
                    <a:prstGeom prst="rect">
                      <a:avLst/>
                    </a:prstGeom>
                  </pic:spPr>
                </pic:pic>
              </a:graphicData>
            </a:graphic>
          </wp:anchor>
        </w:drawing>
      </w:r>
    </w:p>
    <w:p>
      <w:pPr>
        <w:pStyle w:val="BodyText"/>
        <w:spacing w:before="3"/>
        <w:rPr>
          <w:sz w:val="26"/>
        </w:rPr>
      </w:pPr>
    </w:p>
    <w:p>
      <w:pPr>
        <w:spacing w:before="0"/>
        <w:ind w:left="598" w:right="617" w:firstLine="0"/>
        <w:jc w:val="center"/>
        <w:rPr>
          <w:b/>
          <w:sz w:val="16"/>
        </w:rPr>
      </w:pPr>
      <w:r>
        <w:rPr>
          <w:b/>
          <w:sz w:val="16"/>
        </w:rPr>
        <w:t>Figure 38.1: The flow of genetic information from DNA to protein.</w:t>
      </w:r>
    </w:p>
    <w:p>
      <w:pPr>
        <w:spacing w:after="0"/>
        <w:jc w:val="center"/>
        <w:rPr>
          <w:sz w:val="16"/>
        </w:rPr>
        <w:sectPr>
          <w:headerReference w:type="default" r:id="rId211"/>
          <w:footerReference w:type="default" r:id="rId212"/>
          <w:pgSz w:w="11910" w:h="16840"/>
          <w:pgMar w:header="722" w:footer="748" w:top="1300" w:bottom="940" w:left="1500" w:right="1480"/>
          <w:pgNumType w:start="1"/>
        </w:sectPr>
      </w:pPr>
    </w:p>
    <w:p>
      <w:pPr>
        <w:pStyle w:val="BodyText"/>
        <w:spacing w:line="360" w:lineRule="auto" w:before="119"/>
        <w:ind w:left="299" w:right="316"/>
        <w:jc w:val="both"/>
      </w:pPr>
      <w:r>
        <w:rPr>
          <w:b/>
        </w:rPr>
        <w:t>Structure of nucleic acid- </w:t>
      </w:r>
      <w:r>
        <w:rPr/>
        <w:t>Nucleotide, the building block of nucleic acid consists of pentose sugar, base and phosphoric acid residue. Nucleotides are connected by a covalent linkage between pentose sugar of nucleotide and phosphoric acid of the next nucleotide (Figure 38.2). There are 5 different types of nucleobase (cytosine, uracil, thymine, adenine and guanine) attached to the sugar through a N-glycosidic linkage. Uracil is found in RNA whereas thymine is present in the DNA. These nucleotide are abbreviated with the first letter of the base to write the nucleotide sequence of the nucleic acid, such as adenine is denoted as “A”. The bases have a specificity towards the other base to form a pair through hydrogen bonding, “A” is making 2 hydrogen bonding to the “T” where as “G” is making 3 hydrogen bonding to the “C”. DNA is a double helix structure with the bases present on the both starnd and sequence information on one strand of DNA can determine the sequence of the other strand.</w:t>
      </w:r>
    </w:p>
    <w:p>
      <w:pPr>
        <w:pStyle w:val="BodyText"/>
        <w:rPr>
          <w:sz w:val="20"/>
        </w:rPr>
      </w:pPr>
    </w:p>
    <w:p>
      <w:pPr>
        <w:pStyle w:val="BodyText"/>
        <w:rPr>
          <w:sz w:val="20"/>
        </w:rPr>
      </w:pPr>
    </w:p>
    <w:p>
      <w:pPr>
        <w:pStyle w:val="BodyText"/>
        <w:rPr>
          <w:sz w:val="28"/>
        </w:rPr>
      </w:pPr>
      <w:r>
        <w:rPr/>
        <w:drawing>
          <wp:anchor distT="0" distB="0" distL="0" distR="0" allowOverlap="1" layoutInCell="1" locked="0" behindDoc="0" simplePos="0" relativeHeight="347">
            <wp:simplePos x="0" y="0"/>
            <wp:positionH relativeFrom="page">
              <wp:posOffset>1185086</wp:posOffset>
            </wp:positionH>
            <wp:positionV relativeFrom="paragraph">
              <wp:posOffset>229267</wp:posOffset>
            </wp:positionV>
            <wp:extent cx="5194410" cy="4230624"/>
            <wp:effectExtent l="0" t="0" r="0" b="0"/>
            <wp:wrapTopAndBottom/>
            <wp:docPr id="387" name="image198.png"/>
            <wp:cNvGraphicFramePr>
              <a:graphicFrameLocks noChangeAspect="1"/>
            </wp:cNvGraphicFramePr>
            <a:graphic>
              <a:graphicData uri="http://schemas.openxmlformats.org/drawingml/2006/picture">
                <pic:pic>
                  <pic:nvPicPr>
                    <pic:cNvPr id="388" name="image198.png"/>
                    <pic:cNvPicPr/>
                  </pic:nvPicPr>
                  <pic:blipFill>
                    <a:blip r:embed="rId214" cstate="print"/>
                    <a:stretch>
                      <a:fillRect/>
                    </a:stretch>
                  </pic:blipFill>
                  <pic:spPr>
                    <a:xfrm>
                      <a:off x="0" y="0"/>
                      <a:ext cx="5194410" cy="4230624"/>
                    </a:xfrm>
                    <a:prstGeom prst="rect">
                      <a:avLst/>
                    </a:prstGeom>
                  </pic:spPr>
                </pic:pic>
              </a:graphicData>
            </a:graphic>
          </wp:anchor>
        </w:drawing>
      </w:r>
    </w:p>
    <w:p>
      <w:pPr>
        <w:pStyle w:val="BodyText"/>
        <w:spacing w:before="4"/>
        <w:rPr>
          <w:sz w:val="26"/>
        </w:rPr>
      </w:pPr>
    </w:p>
    <w:p>
      <w:pPr>
        <w:spacing w:before="0"/>
        <w:ind w:left="599" w:right="617" w:firstLine="0"/>
        <w:jc w:val="center"/>
        <w:rPr>
          <w:b/>
          <w:sz w:val="16"/>
        </w:rPr>
      </w:pPr>
      <w:r>
        <w:rPr>
          <w:b/>
          <w:sz w:val="16"/>
        </w:rPr>
        <w:t>Figure 38.2: The structure of nucleic acid.</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5"/>
        <w:jc w:val="both"/>
      </w:pPr>
      <w:r>
        <w:rPr>
          <w:b/>
        </w:rPr>
        <w:t>Structure of protein-</w:t>
      </w:r>
      <w:r>
        <w:rPr/>
        <w:t>Protein is made up of 20 naturally occurring amino acids. A typical amino acid contains a amino and a carboxyl group attached to the central α- carbon atom (Figure 38.3). The side chain attached to the α-central carbon atom determines the chemical nature of different amino acids. Peptide bonds connect individual amino acids in a polypeptide chain. Each amino acid is linked to the neighboring amino acid through a acid amide bond between carboxyl group and amino group of the next amino acid. Every polypeptide chain has a free N- and C- terminals (Figure 38.3). Primary structure of a protein is defined as the amino acid sequence from N- to the C-terminus with a length of several hundred amino acids. The ordered folding of</w:t>
      </w:r>
      <w:r>
        <w:rPr>
          <w:spacing w:val="-6"/>
        </w:rPr>
        <w:t> </w:t>
      </w:r>
      <w:r>
        <w:rPr/>
        <w:t>polypeptide</w:t>
      </w:r>
    </w:p>
    <w:p>
      <w:pPr>
        <w:pStyle w:val="BodyText"/>
        <w:spacing w:before="6"/>
        <w:rPr>
          <w:sz w:val="14"/>
        </w:rPr>
      </w:pPr>
      <w:r>
        <w:rPr/>
        <w:drawing>
          <wp:anchor distT="0" distB="0" distL="0" distR="0" allowOverlap="1" layoutInCell="1" locked="0" behindDoc="0" simplePos="0" relativeHeight="348">
            <wp:simplePos x="0" y="0"/>
            <wp:positionH relativeFrom="page">
              <wp:posOffset>1164938</wp:posOffset>
            </wp:positionH>
            <wp:positionV relativeFrom="paragraph">
              <wp:posOffset>131357</wp:posOffset>
            </wp:positionV>
            <wp:extent cx="5234712" cy="2255520"/>
            <wp:effectExtent l="0" t="0" r="0" b="0"/>
            <wp:wrapTopAndBottom/>
            <wp:docPr id="389" name="image199.png"/>
            <wp:cNvGraphicFramePr>
              <a:graphicFrameLocks noChangeAspect="1"/>
            </wp:cNvGraphicFramePr>
            <a:graphic>
              <a:graphicData uri="http://schemas.openxmlformats.org/drawingml/2006/picture">
                <pic:pic>
                  <pic:nvPicPr>
                    <pic:cNvPr id="390" name="image199.png"/>
                    <pic:cNvPicPr/>
                  </pic:nvPicPr>
                  <pic:blipFill>
                    <a:blip r:embed="rId215" cstate="print"/>
                    <a:stretch>
                      <a:fillRect/>
                    </a:stretch>
                  </pic:blipFill>
                  <pic:spPr>
                    <a:xfrm>
                      <a:off x="0" y="0"/>
                      <a:ext cx="5234712" cy="2255520"/>
                    </a:xfrm>
                    <a:prstGeom prst="rect">
                      <a:avLst/>
                    </a:prstGeom>
                  </pic:spPr>
                </pic:pic>
              </a:graphicData>
            </a:graphic>
          </wp:anchor>
        </w:drawing>
      </w:r>
    </w:p>
    <w:p>
      <w:pPr>
        <w:pStyle w:val="BodyText"/>
        <w:spacing w:before="6"/>
        <w:rPr>
          <w:sz w:val="26"/>
        </w:rPr>
      </w:pPr>
    </w:p>
    <w:p>
      <w:pPr>
        <w:spacing w:before="0"/>
        <w:ind w:left="598" w:right="617" w:firstLine="0"/>
        <w:jc w:val="center"/>
        <w:rPr>
          <w:b/>
          <w:sz w:val="16"/>
        </w:rPr>
      </w:pPr>
      <w:r>
        <w:rPr>
          <w:b/>
          <w:sz w:val="16"/>
        </w:rPr>
        <w:t>Figure 38.3: The connection between two adjacent amino acids in a polypeptide.</w:t>
      </w:r>
    </w:p>
    <w:p>
      <w:pPr>
        <w:pStyle w:val="BodyText"/>
        <w:rPr>
          <w:b/>
          <w:sz w:val="18"/>
        </w:rPr>
      </w:pPr>
    </w:p>
    <w:p>
      <w:pPr>
        <w:pStyle w:val="BodyText"/>
        <w:rPr>
          <w:b/>
          <w:sz w:val="18"/>
        </w:rPr>
      </w:pPr>
    </w:p>
    <w:p>
      <w:pPr>
        <w:pStyle w:val="BodyText"/>
        <w:rPr>
          <w:b/>
          <w:sz w:val="18"/>
        </w:rPr>
      </w:pPr>
    </w:p>
    <w:p>
      <w:pPr>
        <w:pStyle w:val="BodyText"/>
        <w:spacing w:line="360" w:lineRule="auto" w:before="143"/>
        <w:ind w:left="299" w:right="316"/>
        <w:jc w:val="both"/>
      </w:pPr>
      <w:r>
        <w:rPr/>
        <w:t>chain give rise to the 3-D conformation known as secondary structure of the protein such as helices, sheet and loops. Arrangement of the secondary structure gives rise to the tertiary structure. α-helix and β-sheet are connected via unstructured loops to arrange themselves in the protein structure and it allows the secondary structure to change their direction. Tertiary structure defines the function of a protein, enzymatic activity or a nature of structural protein. Different polypeptide chains are arranged to give quaternary structure (Figure 38.4).</w:t>
      </w:r>
    </w:p>
    <w:p>
      <w:pPr>
        <w:spacing w:after="0" w:line="360" w:lineRule="auto"/>
        <w:jc w:val="both"/>
        <w:sectPr>
          <w:pgSz w:w="11910" w:h="16840"/>
          <w:pgMar w:header="722" w:footer="748" w:top="1300" w:bottom="940" w:left="1500" w:right="1480"/>
        </w:sectPr>
      </w:pPr>
    </w:p>
    <w:p>
      <w:pPr>
        <w:pStyle w:val="BodyText"/>
        <w:spacing w:before="11"/>
        <w:rPr>
          <w:sz w:val="10"/>
        </w:rPr>
      </w:pPr>
    </w:p>
    <w:p>
      <w:pPr>
        <w:pStyle w:val="BodyText"/>
        <w:ind w:left="330"/>
        <w:rPr>
          <w:sz w:val="20"/>
        </w:rPr>
      </w:pPr>
      <w:r>
        <w:rPr>
          <w:sz w:val="20"/>
        </w:rPr>
        <w:drawing>
          <wp:inline distT="0" distB="0" distL="0" distR="0">
            <wp:extent cx="5357779" cy="5833872"/>
            <wp:effectExtent l="0" t="0" r="0" b="0"/>
            <wp:docPr id="391" name="image200.png"/>
            <wp:cNvGraphicFramePr>
              <a:graphicFrameLocks noChangeAspect="1"/>
            </wp:cNvGraphicFramePr>
            <a:graphic>
              <a:graphicData uri="http://schemas.openxmlformats.org/drawingml/2006/picture">
                <pic:pic>
                  <pic:nvPicPr>
                    <pic:cNvPr id="392" name="image200.png"/>
                    <pic:cNvPicPr/>
                  </pic:nvPicPr>
                  <pic:blipFill>
                    <a:blip r:embed="rId216" cstate="print"/>
                    <a:stretch>
                      <a:fillRect/>
                    </a:stretch>
                  </pic:blipFill>
                  <pic:spPr>
                    <a:xfrm>
                      <a:off x="0" y="0"/>
                      <a:ext cx="5357779" cy="5833872"/>
                    </a:xfrm>
                    <a:prstGeom prst="rect">
                      <a:avLst/>
                    </a:prstGeom>
                  </pic:spPr>
                </pic:pic>
              </a:graphicData>
            </a:graphic>
          </wp:inline>
        </w:drawing>
      </w:r>
      <w:r>
        <w:rPr>
          <w:sz w:val="20"/>
        </w:rPr>
      </w:r>
    </w:p>
    <w:p>
      <w:pPr>
        <w:pStyle w:val="BodyText"/>
        <w:rPr>
          <w:sz w:val="20"/>
        </w:rPr>
      </w:pPr>
    </w:p>
    <w:p>
      <w:pPr>
        <w:pStyle w:val="BodyText"/>
        <w:spacing w:before="7"/>
        <w:rPr>
          <w:sz w:val="18"/>
        </w:rPr>
      </w:pPr>
    </w:p>
    <w:p>
      <w:pPr>
        <w:spacing w:before="0"/>
        <w:ind w:left="599" w:right="617" w:firstLine="0"/>
        <w:jc w:val="center"/>
        <w:rPr>
          <w:b/>
          <w:sz w:val="16"/>
        </w:rPr>
      </w:pPr>
      <w:r>
        <w:rPr>
          <w:b/>
          <w:sz w:val="16"/>
        </w:rPr>
        <w:t>Figure 38.4: The different levels of organization in a protein structure.</w:t>
      </w:r>
    </w:p>
    <w:p>
      <w:pPr>
        <w:pStyle w:val="BodyText"/>
        <w:rPr>
          <w:b/>
          <w:sz w:val="18"/>
        </w:rPr>
      </w:pPr>
    </w:p>
    <w:p>
      <w:pPr>
        <w:pStyle w:val="BodyText"/>
        <w:spacing w:before="6"/>
        <w:rPr>
          <w:b/>
          <w:sz w:val="18"/>
        </w:rPr>
      </w:pPr>
    </w:p>
    <w:p>
      <w:pPr>
        <w:pStyle w:val="BodyText"/>
        <w:spacing w:line="360" w:lineRule="auto"/>
        <w:ind w:left="300" w:right="318"/>
        <w:jc w:val="both"/>
      </w:pPr>
      <w:r>
        <w:rPr>
          <w:b/>
        </w:rPr>
        <w:t>Biological Databases-</w:t>
      </w:r>
      <w:r>
        <w:rPr/>
        <w:t>In the post genomic era, nucleotide and protein sequences from different organisms are available. It has paved the determination of secondary and 3- D structure of the proteins as well. This vast amount of information is processed and arranged systematically in different biological databases. The information present in these databases can be used to derive common feature of a sequence class and classification of a unknown</w:t>
      </w:r>
      <w:r>
        <w:rPr>
          <w:spacing w:val="-3"/>
        </w:rPr>
        <w:t> </w:t>
      </w:r>
      <w:r>
        <w:rPr/>
        <w:t>sequence.</w:t>
      </w:r>
    </w:p>
    <w:p>
      <w:pPr>
        <w:pStyle w:val="BodyText"/>
        <w:spacing w:line="360" w:lineRule="auto" w:before="202"/>
        <w:ind w:left="300" w:right="315"/>
        <w:jc w:val="both"/>
      </w:pPr>
      <w:r>
        <w:rPr>
          <w:b/>
        </w:rPr>
        <w:t>Primary Database- </w:t>
      </w:r>
      <w:r>
        <w:rPr/>
        <w:t>This the collection of the data obtained from the experiment such as sequence of DNA or Protein, 3-D structure of a protein.</w:t>
      </w:r>
    </w:p>
    <w:p>
      <w:pPr>
        <w:spacing w:after="0" w:line="360" w:lineRule="auto"/>
        <w:jc w:val="both"/>
        <w:sectPr>
          <w:pgSz w:w="11910" w:h="16840"/>
          <w:pgMar w:header="722" w:footer="748" w:top="1300" w:bottom="940" w:left="1500" w:right="1480"/>
        </w:sectPr>
      </w:pPr>
    </w:p>
    <w:p>
      <w:pPr>
        <w:pStyle w:val="Heading4"/>
        <w:spacing w:before="124"/>
      </w:pPr>
      <w:r>
        <w:rPr/>
        <w:t>Database of nucleic acid sequences</w:t>
      </w:r>
    </w:p>
    <w:p>
      <w:pPr>
        <w:pStyle w:val="BodyText"/>
        <w:spacing w:before="8"/>
        <w:rPr>
          <w:b/>
          <w:sz w:val="20"/>
        </w:rPr>
      </w:pPr>
    </w:p>
    <w:p>
      <w:pPr>
        <w:pStyle w:val="BodyText"/>
        <w:spacing w:line="360" w:lineRule="auto"/>
        <w:ind w:left="300" w:right="317"/>
        <w:jc w:val="both"/>
      </w:pPr>
      <w:r>
        <w:rPr>
          <w:b/>
        </w:rPr>
        <w:t>GenBank-</w:t>
      </w:r>
      <w:r>
        <w:rPr/>
        <w:t>This is a public sequence database and it can be accessed through a web addess </w:t>
      </w:r>
      <w:hyperlink r:id="rId217">
        <w:r>
          <w:rPr/>
          <w:t>http://www.ncbi.nlm.nih.gov/genbank/.</w:t>
        </w:r>
      </w:hyperlink>
      <w:r>
        <w:rPr/>
        <w:t> The entry into the genbank is made through a login into the database with a pre-requisite of publication of the new sequence in any scientific journal. Each entry in the database has a unique accession number and it remains unchanged. A sample GenBank entry can be accessed via a link </w:t>
      </w:r>
      <w:hyperlink r:id="rId218">
        <w:r>
          <w:rPr/>
          <w:t>http://www.ncbi.nlm.nih.gov/Sitemap/samplerecord.html.</w:t>
        </w:r>
      </w:hyperlink>
      <w:r>
        <w:rPr/>
        <w:t> A typical GenBank entry has the information about the locus name, length of the sequence, type of the molecule (DNA/RNA), nucleotide sequence of the</w:t>
      </w:r>
      <w:r>
        <w:rPr>
          <w:spacing w:val="-5"/>
        </w:rPr>
        <w:t> </w:t>
      </w:r>
      <w:r>
        <w:rPr/>
        <w:t>entry.</w:t>
      </w:r>
    </w:p>
    <w:p>
      <w:pPr>
        <w:pStyle w:val="BodyText"/>
        <w:spacing w:line="360" w:lineRule="auto" w:before="199"/>
        <w:ind w:left="299" w:right="315"/>
        <w:jc w:val="both"/>
      </w:pPr>
      <w:r>
        <w:rPr>
          <w:b/>
        </w:rPr>
        <w:t>Entrez-</w:t>
      </w:r>
      <w:r>
        <w:rPr/>
        <w:t>Entrez system is used to search all NCBI associated databases. </w:t>
      </w:r>
      <w:r>
        <w:rPr>
          <w:spacing w:val="-3"/>
        </w:rPr>
        <w:t>It </w:t>
      </w:r>
      <w:r>
        <w:rPr/>
        <w:t>is a powerful tool to peform simple or complicated searches by combining key word with the logical operator (AND, NOT). For example, searching a protein kinase sequence in human can be done by the following search syntax: Homo sapiens [ORGN] AND protein</w:t>
      </w:r>
      <w:r>
        <w:rPr>
          <w:spacing w:val="-1"/>
        </w:rPr>
        <w:t> </w:t>
      </w:r>
      <w:r>
        <w:rPr/>
        <w:t>kinase.</w:t>
      </w:r>
    </w:p>
    <w:p>
      <w:pPr>
        <w:pStyle w:val="BodyText"/>
        <w:spacing w:line="360" w:lineRule="auto" w:before="201"/>
        <w:ind w:left="300" w:right="317"/>
        <w:jc w:val="both"/>
      </w:pPr>
      <w:r>
        <w:rPr>
          <w:b/>
        </w:rPr>
        <w:t>EMBL and DDBJ- </w:t>
      </w:r>
      <w:r>
        <w:rPr/>
        <w:t>EMBL is the nucleotide sequence database present at European bioinformatics institute where as DDBJ is the DNA sequence database present at centre for information biology, Japan. EMBL can be accessed at </w:t>
      </w:r>
      <w:hyperlink r:id="rId219">
        <w:r>
          <w:rPr/>
          <w:t>http://www.embl.de/</w:t>
        </w:r>
      </w:hyperlink>
      <w:r>
        <w:rPr/>
        <w:t> where as DDBJ canbe accessed at </w:t>
      </w:r>
      <w:hyperlink r:id="rId220">
        <w:r>
          <w:rPr/>
          <w:t>http://www.ddbj.nig.ac.jp/.</w:t>
        </w:r>
      </w:hyperlink>
      <w:r>
        <w:rPr/>
        <w:t> Everyday, GenBank, EMBL and DDBJ synchronize their nucleotide sequence and as a result searching of a nucleotide in any of the database is sufficient.</w:t>
      </w:r>
    </w:p>
    <w:p>
      <w:pPr>
        <w:pStyle w:val="Heading4"/>
        <w:spacing w:before="204"/>
      </w:pPr>
      <w:r>
        <w:rPr/>
        <w:t>Database of protein sequences</w:t>
      </w:r>
    </w:p>
    <w:p>
      <w:pPr>
        <w:pStyle w:val="BodyText"/>
        <w:spacing w:before="5"/>
        <w:rPr>
          <w:b/>
          <w:sz w:val="20"/>
        </w:rPr>
      </w:pPr>
    </w:p>
    <w:p>
      <w:pPr>
        <w:pStyle w:val="BodyText"/>
        <w:spacing w:line="360" w:lineRule="auto"/>
        <w:ind w:left="300" w:right="313"/>
        <w:jc w:val="both"/>
      </w:pPr>
      <w:r>
        <w:rPr>
          <w:b/>
        </w:rPr>
        <w:t>SWISSPROT-</w:t>
      </w:r>
      <w:r>
        <w:rPr/>
        <w:t>it is the collection of the annoted protein sequence of the swiss instituite of bioinformatics (SIB). SWISSPROT can be accessed at </w:t>
      </w:r>
      <w:hyperlink r:id="rId221">
        <w:r>
          <w:rPr>
            <w:color w:val="0000FF"/>
            <w:u w:val="single" w:color="0000FF"/>
          </w:rPr>
          <w:t>http://web.expasy.org/groups/swissprot/</w:t>
        </w:r>
      </w:hyperlink>
      <w:r>
        <w:rPr/>
        <w:t>. The protein sequence entry in the swissprot is manually curated and if required it is compared with the available literature. Swissprot is part of the UniProt database and collectively known as UniProt Knowledgebase. A </w:t>
      </w:r>
      <w:r>
        <w:rPr>
          <w:b/>
        </w:rPr>
        <w:t>‘niceprot’ </w:t>
      </w:r>
      <w:r>
        <w:rPr/>
        <w:t>view of the entry in swissprot database are graphically presented for better readability and hyperlinks are given for other databases as</w:t>
      </w:r>
      <w:r>
        <w:rPr>
          <w:spacing w:val="-17"/>
        </w:rPr>
        <w:t> </w:t>
      </w:r>
      <w:r>
        <w:rPr/>
        <w:t>well.</w:t>
      </w:r>
    </w:p>
    <w:p>
      <w:pPr>
        <w:pStyle w:val="BodyText"/>
        <w:spacing w:line="360" w:lineRule="auto" w:before="201"/>
        <w:ind w:left="300" w:right="317"/>
        <w:jc w:val="both"/>
      </w:pPr>
      <w:r>
        <w:rPr>
          <w:b/>
        </w:rPr>
        <w:t>NCBI protein database-</w:t>
      </w:r>
      <w:r>
        <w:rPr/>
        <w:t>It is a compilation of the protein sequence present in other databases. The NCBI database contains the entries from the swissprot, PIR database, PDB database and other known databases.</w:t>
      </w:r>
    </w:p>
    <w:p>
      <w:pPr>
        <w:spacing w:after="0" w:line="360" w:lineRule="auto"/>
        <w:jc w:val="both"/>
        <w:sectPr>
          <w:pgSz w:w="11910" w:h="16840"/>
          <w:pgMar w:header="722" w:footer="748" w:top="1300" w:bottom="940" w:left="1500" w:right="1480"/>
        </w:sectPr>
      </w:pPr>
    </w:p>
    <w:p>
      <w:pPr>
        <w:pStyle w:val="BodyText"/>
        <w:spacing w:line="360" w:lineRule="auto" w:before="119"/>
        <w:ind w:left="299" w:right="317"/>
        <w:jc w:val="both"/>
      </w:pPr>
      <w:r>
        <w:rPr>
          <w:b/>
        </w:rPr>
        <w:t>UniProt-</w:t>
      </w:r>
      <w:r>
        <w:rPr/>
        <w:t>EBI, SIB and Georgetown university together collected the protein information in the form of a centralized catalogue known as universal protein resource (UniProt). It contains the information about the 3-D structure, expression profile, secondary structures and biochemical function of the protein. UniProt consists of 3 parts: UniProt Knowledge database (UniProtKB), UniProt Reference (UniRef) and UniProt Archive (UniPArc). As discussed before, UniProtKB is a collection from SwissProt and TrEMBL database. UniRef is a nonredudant sequence database and it can allow to search similar sequences. UniRef 100, UniRef90 and UniRef50 are the three version of the database allow searching of sequences 100%, &gt;90% and &gt;50% identical ot the query sequence.</w:t>
      </w:r>
    </w:p>
    <w:p>
      <w:pPr>
        <w:spacing w:after="0" w:line="360" w:lineRule="auto"/>
        <w:jc w:val="both"/>
        <w:sectPr>
          <w:pgSz w:w="11910" w:h="16840"/>
          <w:pgMar w:header="722" w:footer="748" w:top="1300" w:bottom="940" w:left="1500" w:right="1480"/>
        </w:sectPr>
      </w:pPr>
    </w:p>
    <w:p>
      <w:pPr>
        <w:pStyle w:val="Heading2"/>
        <w:spacing w:line="276" w:lineRule="auto"/>
        <w:ind w:right="786"/>
        <w:jc w:val="left"/>
      </w:pPr>
      <w:r>
        <w:rPr/>
        <w:t>Lecture 39 Analysis of protein and nucleic acid sequences (Part-II)</w:t>
      </w:r>
    </w:p>
    <w:p>
      <w:pPr>
        <w:pStyle w:val="BodyText"/>
        <w:spacing w:line="360" w:lineRule="auto" w:before="195"/>
        <w:ind w:left="300" w:right="317"/>
        <w:jc w:val="both"/>
      </w:pPr>
      <w:r>
        <w:rPr>
          <w:b/>
        </w:rPr>
        <w:t>Secondary Database-</w:t>
      </w:r>
      <w:r>
        <w:rPr/>
        <w:t>The analysis of the primary data gives rise to the development of secondary database. Secondary structures, hydrophobicity plot and domains are present in the various secondary databases.</w:t>
      </w:r>
    </w:p>
    <w:p>
      <w:pPr>
        <w:pStyle w:val="BodyText"/>
        <w:spacing w:line="360" w:lineRule="auto" w:before="201"/>
        <w:ind w:left="300" w:right="315"/>
        <w:jc w:val="both"/>
      </w:pPr>
      <w:r>
        <w:rPr>
          <w:b/>
        </w:rPr>
        <w:t>Prosite-</w:t>
      </w:r>
      <w:r>
        <w:rPr/>
        <w:t>Prosite is one of the secondary biological database which contains motifs to classify the unknown sequence into the protein family or class of enzyme. It can be accessed with the web address </w:t>
      </w:r>
      <w:hyperlink r:id="rId222">
        <w:r>
          <w:rPr>
            <w:color w:val="0000FF"/>
            <w:u w:val="single" w:color="0000FF"/>
          </w:rPr>
          <w:t>http://prosite.expasy.org/</w:t>
        </w:r>
        <w:r>
          <w:rPr/>
          <w:t>. </w:t>
        </w:r>
      </w:hyperlink>
      <w:r>
        <w:rPr/>
        <w:t>The database contains motifs derived from the multiple sequence alignment. The quert sequence is aligned against the multiple sequence alignment to determine the presence or absence of the motif. A typical expression in prosite has seven amino acid positions. For examples, [EFTNA]- [HFDAS]-[HYT]-{ADS}-X (2)-P. This expression can be understood as follows-</w:t>
      </w:r>
    </w:p>
    <w:p>
      <w:pPr>
        <w:pStyle w:val="BodyText"/>
        <w:spacing w:line="535" w:lineRule="auto" w:before="198"/>
        <w:ind w:left="300" w:right="5372"/>
        <w:jc w:val="both"/>
      </w:pPr>
      <w:r>
        <w:rPr/>
        <w:t>1</w:t>
      </w:r>
      <w:r>
        <w:rPr>
          <w:vertAlign w:val="superscript"/>
        </w:rPr>
        <w:t>st</w:t>
      </w:r>
      <w:r>
        <w:rPr>
          <w:vertAlign w:val="baseline"/>
        </w:rPr>
        <w:t> position can be E, F, T, N or A 2</w:t>
      </w:r>
      <w:r>
        <w:rPr>
          <w:vertAlign w:val="superscript"/>
        </w:rPr>
        <w:t>nd</w:t>
      </w:r>
      <w:r>
        <w:rPr>
          <w:vertAlign w:val="baseline"/>
        </w:rPr>
        <w:t> position can be H, F,D,A,S</w:t>
      </w:r>
    </w:p>
    <w:p>
      <w:pPr>
        <w:pStyle w:val="BodyText"/>
        <w:spacing w:line="274" w:lineRule="exact"/>
        <w:ind w:left="300"/>
        <w:jc w:val="both"/>
      </w:pPr>
      <w:r>
        <w:rPr/>
        <w:t>3</w:t>
      </w:r>
      <w:r>
        <w:rPr>
          <w:vertAlign w:val="superscript"/>
        </w:rPr>
        <w:t>rd</w:t>
      </w:r>
      <w:r>
        <w:rPr>
          <w:vertAlign w:val="baseline"/>
        </w:rPr>
        <w:t> position can be HYT</w:t>
      </w:r>
    </w:p>
    <w:p>
      <w:pPr>
        <w:pStyle w:val="BodyText"/>
        <w:spacing w:before="5"/>
        <w:rPr>
          <w:sz w:val="29"/>
        </w:rPr>
      </w:pPr>
    </w:p>
    <w:p>
      <w:pPr>
        <w:pStyle w:val="BodyText"/>
        <w:ind w:left="300"/>
        <w:jc w:val="both"/>
      </w:pPr>
      <w:r>
        <w:rPr/>
        <w:t>4</w:t>
      </w:r>
      <w:r>
        <w:rPr>
          <w:vertAlign w:val="superscript"/>
        </w:rPr>
        <w:t>th</w:t>
      </w:r>
      <w:r>
        <w:rPr>
          <w:vertAlign w:val="baseline"/>
        </w:rPr>
        <w:t> position can be any amino acid except ADS</w:t>
      </w:r>
    </w:p>
    <w:p>
      <w:pPr>
        <w:pStyle w:val="BodyText"/>
        <w:spacing w:before="5"/>
        <w:rPr>
          <w:sz w:val="29"/>
        </w:rPr>
      </w:pPr>
    </w:p>
    <w:p>
      <w:pPr>
        <w:pStyle w:val="BodyText"/>
        <w:ind w:left="300"/>
        <w:jc w:val="both"/>
      </w:pPr>
      <w:r>
        <w:rPr/>
        <w:t>5</w:t>
      </w:r>
      <w:r>
        <w:rPr>
          <w:vertAlign w:val="superscript"/>
        </w:rPr>
        <w:t>th</w:t>
      </w:r>
      <w:r>
        <w:rPr>
          <w:vertAlign w:val="baseline"/>
        </w:rPr>
        <w:t> and 6</w:t>
      </w:r>
      <w:r>
        <w:rPr>
          <w:vertAlign w:val="superscript"/>
        </w:rPr>
        <w:t>th</w:t>
      </w:r>
      <w:r>
        <w:rPr>
          <w:vertAlign w:val="baseline"/>
        </w:rPr>
        <w:t> position, any amino acid can follow and the 7</w:t>
      </w:r>
      <w:r>
        <w:rPr>
          <w:vertAlign w:val="superscript"/>
        </w:rPr>
        <w:t>th</w:t>
      </w:r>
      <w:r>
        <w:rPr>
          <w:vertAlign w:val="baseline"/>
        </w:rPr>
        <w:t> position will be proline.</w:t>
      </w:r>
    </w:p>
    <w:p>
      <w:pPr>
        <w:pStyle w:val="BodyText"/>
        <w:spacing w:before="5"/>
        <w:rPr>
          <w:sz w:val="29"/>
        </w:rPr>
      </w:pPr>
    </w:p>
    <w:p>
      <w:pPr>
        <w:pStyle w:val="BodyText"/>
        <w:spacing w:line="360" w:lineRule="auto"/>
        <w:ind w:left="300" w:right="316"/>
        <w:jc w:val="both"/>
      </w:pPr>
      <w:r>
        <w:rPr/>
        <w:t>A query sequence can be analyzed using the algorithm ScanProsite. In addition, it may allow to search the sequence with similar pattern in SwissProt, TrEMBL and PDB</w:t>
      </w:r>
      <w:r>
        <w:rPr>
          <w:spacing w:val="-3"/>
        </w:rPr>
        <w:t> </w:t>
      </w:r>
      <w:r>
        <w:rPr/>
        <w:t>databases.</w:t>
      </w:r>
    </w:p>
    <w:p>
      <w:pPr>
        <w:pStyle w:val="Heading4"/>
        <w:spacing w:before="203"/>
        <w:jc w:val="left"/>
      </w:pPr>
      <w:r>
        <w:rPr/>
        <w:t>PRINTS:</w:t>
      </w:r>
    </w:p>
    <w:p>
      <w:pPr>
        <w:pStyle w:val="BodyText"/>
        <w:rPr>
          <w:b/>
          <w:sz w:val="29"/>
        </w:rPr>
      </w:pPr>
    </w:p>
    <w:p>
      <w:pPr>
        <w:pStyle w:val="BodyText"/>
        <w:spacing w:line="360" w:lineRule="auto"/>
        <w:ind w:left="299" w:right="315"/>
        <w:jc w:val="both"/>
      </w:pPr>
      <w:r>
        <w:rPr>
          <w:b/>
        </w:rPr>
        <w:t>Pfam: </w:t>
      </w:r>
      <w:r>
        <w:rPr/>
        <w:t>The Pfam database contains the profiles of the protein sequences and classifies the protein families as per the over-all profile. A profile is a pattern of the amino acid in a protein sequence and determine probability of a given amino acid. Pfam is based on the sequence alignment. A high quality sequence alignment gives the idea about the probability of appearance of an amino acid at a particular position and contain evolutionary related sequences. However, in few cases a sequence alignment may have sequences with no evolutionary relationship to each other. A critical analysis of result from the Pfam database is necessary to draw</w:t>
      </w:r>
      <w:r>
        <w:rPr>
          <w:spacing w:val="-8"/>
        </w:rPr>
        <w:t> </w:t>
      </w:r>
      <w:r>
        <w:rPr/>
        <w:t>conclusions.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8"/>
        <w:jc w:val="both"/>
      </w:pPr>
      <w:r>
        <w:rPr>
          <w:b/>
        </w:rPr>
        <w:t>Interpro-</w:t>
      </w:r>
      <w:r>
        <w:rPr/>
        <w:t>SwissProt, TrEMBL, Prosite, Pfam, PRINT, ProDom, Smart and TIGRFAMS are integrated into a comprehensive signature database known as Interpro. The results from interpro gives the output from individual databases and allows user to compare the output considering the algorithm used in each database.</w:t>
      </w:r>
    </w:p>
    <w:p>
      <w:pPr>
        <w:pStyle w:val="Heading4"/>
        <w:spacing w:before="204"/>
      </w:pPr>
      <w:r>
        <w:rPr/>
        <w:t>Molecular structure database</w:t>
      </w:r>
    </w:p>
    <w:p>
      <w:pPr>
        <w:pStyle w:val="BodyText"/>
        <w:rPr>
          <w:b/>
          <w:sz w:val="29"/>
        </w:rPr>
      </w:pPr>
    </w:p>
    <w:p>
      <w:pPr>
        <w:pStyle w:val="BodyText"/>
        <w:spacing w:line="360" w:lineRule="auto" w:before="1"/>
        <w:ind w:left="300" w:right="316"/>
        <w:jc w:val="both"/>
      </w:pPr>
      <w:r>
        <w:rPr>
          <w:b/>
        </w:rPr>
        <w:t>Protein Data bank (PDB)- </w:t>
      </w:r>
      <w:r>
        <w:rPr/>
        <w:t>it is the collection of the experimentally determined crystal stuture of the biological macromolecules. It is co-ordinated by the consortium located in Europe, Japan and USA. As of August 2013, the database contains 93043 structures which includes protein, nucleic acids, and protein-nucleic acid or protein- small molecule complexes (</w:t>
      </w:r>
      <w:hyperlink r:id="rId223">
        <w:r>
          <w:rPr/>
          <w:t>http://www.rcsb.org/pdb/home/home.do).</w:t>
        </w:r>
      </w:hyperlink>
      <w:r>
        <w:rPr/>
        <w:t> A PDB ID or the key word can be use to search the database. The result from the database summarizes all information related to the structure such as crystallization condition, reference of the journal article where the finding are published</w:t>
      </w:r>
      <w:r>
        <w:rPr>
          <w:spacing w:val="-12"/>
        </w:rPr>
        <w:t> </w:t>
      </w:r>
      <w:r>
        <w:rPr/>
        <w:t>etc.</w:t>
      </w:r>
    </w:p>
    <w:p>
      <w:pPr>
        <w:pStyle w:val="BodyText"/>
        <w:spacing w:line="360" w:lineRule="auto" w:before="199"/>
        <w:ind w:left="300" w:right="315"/>
        <w:jc w:val="both"/>
      </w:pPr>
      <w:r>
        <w:rPr>
          <w:b/>
        </w:rPr>
        <w:t>SCOP-</w:t>
      </w:r>
      <w:r>
        <w:rPr/>
        <w:t>SCOP (structural classification of protein) utilizes the basic idea that the proteins with similar biological functions and evolutionary related with each other must have a similar structure. The database classifies the structure of a known protein into the families, superfamilies and fold. A protein structure belongs to a famiy if the sequence identity must be atleast 30% over the total length of the sequence. Proteins with structural or functional similarity but low sequence identity are classified into the superfamilies. Whereas proteins with similar secondary structure arrangement belongs to the fold.</w:t>
      </w:r>
    </w:p>
    <w:p>
      <w:pPr>
        <w:pStyle w:val="BodyText"/>
        <w:spacing w:line="360" w:lineRule="auto" w:before="202"/>
        <w:ind w:left="300" w:right="315"/>
        <w:jc w:val="both"/>
      </w:pPr>
      <w:r>
        <w:rPr>
          <w:b/>
        </w:rPr>
        <w:t>CATH-</w:t>
      </w:r>
      <w:r>
        <w:rPr/>
        <w:t>Similar to SCOP, CATH classifies the protein into 4 categories: Class (C), Architecture (A), Topology (T), and Homologous superfamily (H). A protein is classified as Class depending on the proportion of the secondary structure elements rather than their arrangement. There are 4 classes, helices (α-class), sheet (β-class), helix-sheet (α/β class) and proteins with few secondary structures. The arrangement of secondary elements in a protein structure is used for their classification within the architecture. The connection of secondary elements is used for their classification within the topology category. The homologous superfamily consider the presence of similar domains in two protein structure for their classification.</w:t>
      </w:r>
    </w:p>
    <w:p>
      <w:pPr>
        <w:spacing w:after="0" w:line="360" w:lineRule="auto"/>
        <w:jc w:val="both"/>
        <w:sectPr>
          <w:pgSz w:w="11910" w:h="16840"/>
          <w:pgMar w:header="722" w:footer="748" w:top="1300" w:bottom="940" w:left="1500" w:right="1480"/>
        </w:sectPr>
      </w:pPr>
    </w:p>
    <w:p>
      <w:pPr>
        <w:pStyle w:val="Heading4"/>
        <w:spacing w:before="124"/>
      </w:pPr>
      <w:r>
        <w:rPr/>
        <w:t>Sequence Comparison</w:t>
      </w:r>
    </w:p>
    <w:p>
      <w:pPr>
        <w:pStyle w:val="BodyText"/>
        <w:spacing w:before="8"/>
        <w:rPr>
          <w:b/>
          <w:sz w:val="20"/>
        </w:rPr>
      </w:pPr>
    </w:p>
    <w:p>
      <w:pPr>
        <w:pStyle w:val="BodyText"/>
        <w:spacing w:line="360" w:lineRule="auto"/>
        <w:ind w:left="300" w:right="318"/>
        <w:jc w:val="both"/>
      </w:pPr>
      <w:r>
        <w:rPr>
          <w:b/>
        </w:rPr>
        <w:t>Homologous- </w:t>
      </w:r>
      <w:r>
        <w:rPr/>
        <w:t>Two related sequences are termed as </w:t>
      </w:r>
      <w:r>
        <w:rPr>
          <w:b/>
        </w:rPr>
        <w:t>homologous </w:t>
      </w:r>
      <w:r>
        <w:rPr/>
        <w:t>to each other. These can be either orthologs or paralogs. The homologous protein from two different organsism with similar functions are termed as </w:t>
      </w:r>
      <w:r>
        <w:rPr>
          <w:b/>
        </w:rPr>
        <w:t>ortholog </w:t>
      </w:r>
      <w:r>
        <w:rPr/>
        <w:t>where as homologous  protein with different protein with different function in an organism is called as </w:t>
      </w:r>
      <w:r>
        <w:rPr>
          <w:b/>
        </w:rPr>
        <w:t>paralog</w:t>
      </w:r>
      <w:r>
        <w:rPr/>
        <w:t>.</w:t>
      </w:r>
    </w:p>
    <w:p>
      <w:pPr>
        <w:pStyle w:val="BodyText"/>
        <w:spacing w:line="360" w:lineRule="auto" w:before="198"/>
        <w:ind w:left="300" w:right="314"/>
        <w:jc w:val="both"/>
      </w:pPr>
      <w:r>
        <w:rPr>
          <w:b/>
        </w:rPr>
        <w:t>Identitity and similarity- </w:t>
      </w:r>
      <w:r>
        <w:rPr/>
        <w:t>The ratio of identical amino acids residues to the total number of amino acids present in the entire length of the sequence is termed as identity (Figure 39.1). Where as ratio of similar amino acids in a sequence relative to the total number of amino acid present is termed as similarity. The extend of similarity between two amino acids is calculated with a similarity matrix. An alignment between two amino acid sequences is required to calculate identity or similarity score. In the process, two sequence are arbitrarily placed to each other and an alignment score is calculated. This process is repeated until best score is found. In few cases, the length of the amino acids can be enlarged or reduced by incorporating a residue or inserting a gap (Figure</w:t>
      </w:r>
      <w:r>
        <w:rPr>
          <w:spacing w:val="-4"/>
        </w:rPr>
        <w:t> </w:t>
      </w:r>
      <w:r>
        <w:rPr/>
        <w:t>39.1).</w:t>
      </w:r>
    </w:p>
    <w:p>
      <w:pPr>
        <w:pStyle w:val="BodyText"/>
        <w:spacing w:before="7"/>
        <w:rPr>
          <w:sz w:val="14"/>
        </w:rPr>
      </w:pPr>
      <w:r>
        <w:rPr/>
        <w:drawing>
          <wp:anchor distT="0" distB="0" distL="0" distR="0" allowOverlap="1" layoutInCell="1" locked="0" behindDoc="0" simplePos="0" relativeHeight="349">
            <wp:simplePos x="0" y="0"/>
            <wp:positionH relativeFrom="page">
              <wp:posOffset>1143673</wp:posOffset>
            </wp:positionH>
            <wp:positionV relativeFrom="paragraph">
              <wp:posOffset>131979</wp:posOffset>
            </wp:positionV>
            <wp:extent cx="5363279" cy="3621024"/>
            <wp:effectExtent l="0" t="0" r="0" b="0"/>
            <wp:wrapTopAndBottom/>
            <wp:docPr id="393" name="image201.png"/>
            <wp:cNvGraphicFramePr>
              <a:graphicFrameLocks noChangeAspect="1"/>
            </wp:cNvGraphicFramePr>
            <a:graphic>
              <a:graphicData uri="http://schemas.openxmlformats.org/drawingml/2006/picture">
                <pic:pic>
                  <pic:nvPicPr>
                    <pic:cNvPr id="394" name="image201.png"/>
                    <pic:cNvPicPr/>
                  </pic:nvPicPr>
                  <pic:blipFill>
                    <a:blip r:embed="rId224" cstate="print"/>
                    <a:stretch>
                      <a:fillRect/>
                    </a:stretch>
                  </pic:blipFill>
                  <pic:spPr>
                    <a:xfrm>
                      <a:off x="0" y="0"/>
                      <a:ext cx="5363279" cy="3621024"/>
                    </a:xfrm>
                    <a:prstGeom prst="rect">
                      <a:avLst/>
                    </a:prstGeom>
                  </pic:spPr>
                </pic:pic>
              </a:graphicData>
            </a:graphic>
          </wp:anchor>
        </w:drawing>
      </w:r>
    </w:p>
    <w:p>
      <w:pPr>
        <w:pStyle w:val="BodyText"/>
        <w:spacing w:before="5"/>
        <w:rPr>
          <w:sz w:val="26"/>
        </w:rPr>
      </w:pPr>
    </w:p>
    <w:p>
      <w:pPr>
        <w:spacing w:before="0"/>
        <w:ind w:left="601" w:right="617" w:firstLine="0"/>
        <w:jc w:val="center"/>
        <w:rPr>
          <w:b/>
          <w:sz w:val="16"/>
        </w:rPr>
      </w:pPr>
      <w:r>
        <w:rPr>
          <w:b/>
          <w:sz w:val="16"/>
        </w:rPr>
        <w:t>Figure 39.1: Sequence alignment of nucleotide and protein sequences.</w:t>
      </w:r>
    </w:p>
    <w:p>
      <w:pPr>
        <w:spacing w:after="0"/>
        <w:jc w:val="center"/>
        <w:rPr>
          <w:sz w:val="16"/>
        </w:rPr>
        <w:sectPr>
          <w:pgSz w:w="11910" w:h="16840"/>
          <w:pgMar w:header="722" w:footer="748" w:top="1300" w:bottom="940" w:left="1500" w:right="1480"/>
        </w:sectPr>
      </w:pPr>
    </w:p>
    <w:p>
      <w:pPr>
        <w:pStyle w:val="BodyText"/>
        <w:spacing w:line="360" w:lineRule="auto" w:before="119"/>
        <w:ind w:left="299" w:right="316"/>
        <w:jc w:val="both"/>
      </w:pPr>
      <w:r>
        <w:rPr/>
        <w:t>The use of a nucleotide scoring matrix to obtain optimal alignment of two nucleotide sequence is given in Figure 39.2. In this case, an identity matrix is relevant as the four nucleotide will not show any similarity to each other. As given the alignment examples, the sliding of the sequences gives different scores (3 or 7 using identity matrix and the alignment with the best score is choosen.</w:t>
      </w:r>
    </w:p>
    <w:p>
      <w:pPr>
        <w:pStyle w:val="BodyText"/>
        <w:spacing w:before="9"/>
        <w:rPr>
          <w:sz w:val="14"/>
        </w:rPr>
      </w:pPr>
      <w:r>
        <w:rPr/>
        <w:drawing>
          <wp:anchor distT="0" distB="0" distL="0" distR="0" allowOverlap="1" layoutInCell="1" locked="0" behindDoc="0" simplePos="0" relativeHeight="350">
            <wp:simplePos x="0" y="0"/>
            <wp:positionH relativeFrom="page">
              <wp:posOffset>1145264</wp:posOffset>
            </wp:positionH>
            <wp:positionV relativeFrom="paragraph">
              <wp:posOffset>133252</wp:posOffset>
            </wp:positionV>
            <wp:extent cx="5153977" cy="1642967"/>
            <wp:effectExtent l="0" t="0" r="0" b="0"/>
            <wp:wrapTopAndBottom/>
            <wp:docPr id="395" name="image202.png" descr="Picture1.png"/>
            <wp:cNvGraphicFramePr>
              <a:graphicFrameLocks noChangeAspect="1"/>
            </wp:cNvGraphicFramePr>
            <a:graphic>
              <a:graphicData uri="http://schemas.openxmlformats.org/drawingml/2006/picture">
                <pic:pic>
                  <pic:nvPicPr>
                    <pic:cNvPr id="396" name="image202.png"/>
                    <pic:cNvPicPr/>
                  </pic:nvPicPr>
                  <pic:blipFill>
                    <a:blip r:embed="rId225" cstate="print"/>
                    <a:stretch>
                      <a:fillRect/>
                    </a:stretch>
                  </pic:blipFill>
                  <pic:spPr>
                    <a:xfrm>
                      <a:off x="0" y="0"/>
                      <a:ext cx="5153977" cy="1642967"/>
                    </a:xfrm>
                    <a:prstGeom prst="rect">
                      <a:avLst/>
                    </a:prstGeom>
                  </pic:spPr>
                </pic:pic>
              </a:graphicData>
            </a:graphic>
          </wp:anchor>
        </w:drawing>
      </w:r>
    </w:p>
    <w:p>
      <w:pPr>
        <w:pStyle w:val="BodyText"/>
        <w:spacing w:before="5"/>
        <w:rPr>
          <w:sz w:val="28"/>
        </w:rPr>
      </w:pPr>
    </w:p>
    <w:p>
      <w:pPr>
        <w:spacing w:before="0"/>
        <w:ind w:left="599" w:right="617" w:firstLine="0"/>
        <w:jc w:val="center"/>
        <w:rPr>
          <w:b/>
          <w:sz w:val="16"/>
        </w:rPr>
      </w:pPr>
      <w:r>
        <w:rPr>
          <w:b/>
          <w:sz w:val="16"/>
        </w:rPr>
        <w:t>Figure 39.2: Sequence alignment of nucleotide sequences.</w:t>
      </w:r>
    </w:p>
    <w:p>
      <w:pPr>
        <w:pStyle w:val="BodyText"/>
        <w:spacing w:before="10"/>
        <w:rPr>
          <w:b/>
        </w:rPr>
      </w:pPr>
    </w:p>
    <w:p>
      <w:pPr>
        <w:pStyle w:val="BodyText"/>
        <w:spacing w:line="360" w:lineRule="auto"/>
        <w:ind w:left="300" w:right="316"/>
        <w:jc w:val="both"/>
      </w:pPr>
      <w:r>
        <w:rPr/>
        <w:t>Opposite to the nucleotides, identity matrix is not sufficient to perform alignment of two protein sequences. Amino acids present in two sequences may have similar or different physiochemical properties. The probability to substitute one amino acid with other amino acids is also considered to give the score in the matrix (Figure 39.3). For example, aspartic acid is often observed with glutamic acid but substitution of aspartic acid with tryptophan is rare. This is due to the gentic codes of these amino acids ( aspartate and glutamic acid has only 3</w:t>
      </w:r>
      <w:r>
        <w:rPr>
          <w:vertAlign w:val="superscript"/>
        </w:rPr>
        <w:t>rd</w:t>
      </w:r>
      <w:r>
        <w:rPr>
          <w:vertAlign w:val="baseline"/>
        </w:rPr>
        <w:t> codon different) and their properties (both aspartate and glutamic are negatively charged amino acids). In addition, the effect of substitution on the protein structure is also been consider to provide score in the matrix. Asparate (negatively charged) to trptophan (aromatic) will have severe  impact on the protein structure and hence will have lower score (In the matrix given  in Figure 39.3, such a substitution will have -4 score). The most commonly used scoring matrix are the PAM (position assisted matrix) and BLOSUM (blocks substitution matrix). The negative value in the matrix indicate that the occurrence is coincidental where as positive values suggest a favorable substitution. In the example given in Figure 39.3, the two amino acid sequences are slide over to each other to produce two alignment. Using the blosum matrix, the amino acid alignment 1 is giving a score 65 where as amino acid alignmet 2 is giving score of 19. </w:t>
      </w:r>
      <w:r>
        <w:rPr>
          <w:spacing w:val="-3"/>
          <w:vertAlign w:val="baseline"/>
        </w:rPr>
        <w:t>In </w:t>
      </w:r>
      <w:r>
        <w:rPr>
          <w:vertAlign w:val="baseline"/>
        </w:rPr>
        <w:t>this situation, the alignment 1 is preferred over the other and be the optimal aligment for the given two</w:t>
      </w:r>
      <w:r>
        <w:rPr>
          <w:spacing w:val="-2"/>
          <w:vertAlign w:val="baseline"/>
        </w:rPr>
        <w:t> </w:t>
      </w:r>
      <w:r>
        <w:rPr>
          <w:vertAlign w:val="baseline"/>
        </w:rPr>
        <w:t>sequences.</w:t>
      </w:r>
    </w:p>
    <w:p>
      <w:pPr>
        <w:spacing w:after="0" w:line="360" w:lineRule="auto"/>
        <w:jc w:val="both"/>
        <w:sectPr>
          <w:pgSz w:w="11910" w:h="16840"/>
          <w:pgMar w:header="722" w:footer="748" w:top="1300" w:bottom="940" w:left="1500" w:right="1480"/>
        </w:sectPr>
      </w:pPr>
    </w:p>
    <w:p>
      <w:pPr>
        <w:pStyle w:val="BodyText"/>
        <w:spacing w:before="2"/>
        <w:rPr>
          <w:sz w:val="11"/>
        </w:rPr>
      </w:pPr>
    </w:p>
    <w:p>
      <w:pPr>
        <w:pStyle w:val="BodyText"/>
        <w:ind w:left="303"/>
        <w:rPr>
          <w:sz w:val="20"/>
        </w:rPr>
      </w:pPr>
      <w:r>
        <w:rPr>
          <w:sz w:val="20"/>
        </w:rPr>
        <w:drawing>
          <wp:inline distT="0" distB="0" distL="0" distR="0">
            <wp:extent cx="5335512" cy="4978146"/>
            <wp:effectExtent l="0" t="0" r="0" b="0"/>
            <wp:docPr id="397" name="image203.png" descr="aLIGNMENT1.png"/>
            <wp:cNvGraphicFramePr>
              <a:graphicFrameLocks noChangeAspect="1"/>
            </wp:cNvGraphicFramePr>
            <a:graphic>
              <a:graphicData uri="http://schemas.openxmlformats.org/drawingml/2006/picture">
                <pic:pic>
                  <pic:nvPicPr>
                    <pic:cNvPr id="398" name="image203.png"/>
                    <pic:cNvPicPr/>
                  </pic:nvPicPr>
                  <pic:blipFill>
                    <a:blip r:embed="rId226" cstate="print"/>
                    <a:stretch>
                      <a:fillRect/>
                    </a:stretch>
                  </pic:blipFill>
                  <pic:spPr>
                    <a:xfrm>
                      <a:off x="0" y="0"/>
                      <a:ext cx="5335512" cy="4978146"/>
                    </a:xfrm>
                    <a:prstGeom prst="rect">
                      <a:avLst/>
                    </a:prstGeom>
                  </pic:spPr>
                </pic:pic>
              </a:graphicData>
            </a:graphic>
          </wp:inline>
        </w:drawing>
      </w:r>
      <w:r>
        <w:rPr>
          <w:sz w:val="20"/>
        </w:rPr>
      </w:r>
    </w:p>
    <w:p>
      <w:pPr>
        <w:pStyle w:val="BodyText"/>
        <w:spacing w:before="7"/>
        <w:rPr>
          <w:sz w:val="18"/>
        </w:rPr>
      </w:pPr>
    </w:p>
    <w:p>
      <w:pPr>
        <w:spacing w:before="94"/>
        <w:ind w:left="601" w:right="617" w:firstLine="0"/>
        <w:jc w:val="center"/>
        <w:rPr>
          <w:b/>
          <w:sz w:val="16"/>
        </w:rPr>
      </w:pPr>
      <w:r>
        <w:rPr>
          <w:b/>
          <w:sz w:val="16"/>
        </w:rPr>
        <w:t>Figure 39.3: Sequence alignment of protein sequences.</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8"/>
        <w:jc w:val="both"/>
      </w:pPr>
      <w:r>
        <w:rPr/>
        <w:t>The Alignment of two query sequences can be global or local (Figure 39.4). In global alignment, the complete length of the protein sequences are compared to another where as in the case of local alignment, only a part of the sequence is compared (Figure 39.4). The global alignment is used to classify the protein into different classes where as local alignment is used to identify the motif or</w:t>
      </w:r>
      <w:r>
        <w:rPr>
          <w:spacing w:val="-11"/>
        </w:rPr>
        <w:t> </w:t>
      </w:r>
      <w:r>
        <w:rPr/>
        <w:t>domain.</w:t>
      </w:r>
    </w:p>
    <w:p>
      <w:pPr>
        <w:pStyle w:val="BodyText"/>
        <w:spacing w:before="6"/>
        <w:rPr>
          <w:sz w:val="14"/>
        </w:rPr>
      </w:pPr>
      <w:r>
        <w:rPr/>
        <w:drawing>
          <wp:anchor distT="0" distB="0" distL="0" distR="0" allowOverlap="1" layoutInCell="1" locked="0" behindDoc="0" simplePos="0" relativeHeight="351">
            <wp:simplePos x="0" y="0"/>
            <wp:positionH relativeFrom="page">
              <wp:posOffset>1157185</wp:posOffset>
            </wp:positionH>
            <wp:positionV relativeFrom="paragraph">
              <wp:posOffset>131423</wp:posOffset>
            </wp:positionV>
            <wp:extent cx="5251994" cy="2450592"/>
            <wp:effectExtent l="0" t="0" r="0" b="0"/>
            <wp:wrapTopAndBottom/>
            <wp:docPr id="399" name="image204.png"/>
            <wp:cNvGraphicFramePr>
              <a:graphicFrameLocks noChangeAspect="1"/>
            </wp:cNvGraphicFramePr>
            <a:graphic>
              <a:graphicData uri="http://schemas.openxmlformats.org/drawingml/2006/picture">
                <pic:pic>
                  <pic:nvPicPr>
                    <pic:cNvPr id="400" name="image204.png"/>
                    <pic:cNvPicPr/>
                  </pic:nvPicPr>
                  <pic:blipFill>
                    <a:blip r:embed="rId227" cstate="print"/>
                    <a:stretch>
                      <a:fillRect/>
                    </a:stretch>
                  </pic:blipFill>
                  <pic:spPr>
                    <a:xfrm>
                      <a:off x="0" y="0"/>
                      <a:ext cx="5251994" cy="2450592"/>
                    </a:xfrm>
                    <a:prstGeom prst="rect">
                      <a:avLst/>
                    </a:prstGeom>
                  </pic:spPr>
                </pic:pic>
              </a:graphicData>
            </a:graphic>
          </wp:anchor>
        </w:drawing>
      </w:r>
    </w:p>
    <w:p>
      <w:pPr>
        <w:pStyle w:val="BodyText"/>
        <w:spacing w:before="4"/>
        <w:rPr>
          <w:sz w:val="26"/>
        </w:rPr>
      </w:pPr>
    </w:p>
    <w:p>
      <w:pPr>
        <w:spacing w:before="1"/>
        <w:ind w:left="601" w:right="617" w:firstLine="0"/>
        <w:jc w:val="center"/>
        <w:rPr>
          <w:b/>
          <w:sz w:val="16"/>
        </w:rPr>
      </w:pPr>
      <w:r>
        <w:rPr>
          <w:b/>
          <w:sz w:val="16"/>
        </w:rPr>
        <w:t>Figure 39.4: Sequence alignment of protein sequences.</w:t>
      </w:r>
    </w:p>
    <w:p>
      <w:pPr>
        <w:spacing w:after="0"/>
        <w:jc w:val="center"/>
        <w:rPr>
          <w:sz w:val="16"/>
        </w:rPr>
        <w:sectPr>
          <w:pgSz w:w="11910" w:h="16840"/>
          <w:pgMar w:header="722" w:footer="748" w:top="1300" w:bottom="940" w:left="1500" w:right="1480"/>
        </w:sectPr>
      </w:pPr>
    </w:p>
    <w:p>
      <w:pPr>
        <w:pStyle w:val="BodyText"/>
        <w:spacing w:line="360" w:lineRule="auto" w:before="119"/>
        <w:ind w:left="300" w:right="318"/>
        <w:jc w:val="both"/>
      </w:pPr>
      <w:r>
        <w:rPr/>
        <w:t>To compare more than two sequences, multiple sequence alignment can be performed with ClustalW. </w:t>
      </w:r>
      <w:r>
        <w:rPr>
          <w:spacing w:val="-3"/>
        </w:rPr>
        <w:t>It </w:t>
      </w:r>
      <w:r>
        <w:rPr/>
        <w:t>exploits the fact that similar sequences are usually homologous. First the pairwise alignment are carried out with the most similar sequences. Then based on the score of pairwise alignment, all sequences are classified into different groups. These groups are presented as multiple sequence alignment (Figure 39.5). As ClustalW calculates the distances between different sequences, it can be use to generate phylogenetic tree (Figure</w:t>
      </w:r>
      <w:r>
        <w:rPr>
          <w:spacing w:val="-5"/>
        </w:rPr>
        <w:t> </w:t>
      </w:r>
      <w:r>
        <w:rPr/>
        <w:t>39.6).</w:t>
      </w:r>
    </w:p>
    <w:p>
      <w:pPr>
        <w:pStyle w:val="BodyText"/>
        <w:spacing w:before="8"/>
        <w:rPr>
          <w:sz w:val="23"/>
        </w:rPr>
      </w:pPr>
      <w:r>
        <w:rPr/>
        <w:drawing>
          <wp:anchor distT="0" distB="0" distL="0" distR="0" allowOverlap="1" layoutInCell="1" locked="0" behindDoc="0" simplePos="0" relativeHeight="352">
            <wp:simplePos x="0" y="0"/>
            <wp:positionH relativeFrom="page">
              <wp:posOffset>1327935</wp:posOffset>
            </wp:positionH>
            <wp:positionV relativeFrom="paragraph">
              <wp:posOffset>198321</wp:posOffset>
            </wp:positionV>
            <wp:extent cx="4833317" cy="4517040"/>
            <wp:effectExtent l="0" t="0" r="0" b="0"/>
            <wp:wrapTopAndBottom/>
            <wp:docPr id="401" name="image205.jpeg"/>
            <wp:cNvGraphicFramePr>
              <a:graphicFrameLocks noChangeAspect="1"/>
            </wp:cNvGraphicFramePr>
            <a:graphic>
              <a:graphicData uri="http://schemas.openxmlformats.org/drawingml/2006/picture">
                <pic:pic>
                  <pic:nvPicPr>
                    <pic:cNvPr id="402" name="image205.jpeg"/>
                    <pic:cNvPicPr/>
                  </pic:nvPicPr>
                  <pic:blipFill>
                    <a:blip r:embed="rId228" cstate="print"/>
                    <a:stretch>
                      <a:fillRect/>
                    </a:stretch>
                  </pic:blipFill>
                  <pic:spPr>
                    <a:xfrm>
                      <a:off x="0" y="0"/>
                      <a:ext cx="4833317" cy="4517040"/>
                    </a:xfrm>
                    <a:prstGeom prst="rect">
                      <a:avLst/>
                    </a:prstGeom>
                  </pic:spPr>
                </pic:pic>
              </a:graphicData>
            </a:graphic>
          </wp:anchor>
        </w:drawing>
      </w:r>
    </w:p>
    <w:p>
      <w:pPr>
        <w:pStyle w:val="BodyText"/>
        <w:rPr>
          <w:sz w:val="26"/>
        </w:rPr>
      </w:pPr>
    </w:p>
    <w:p>
      <w:pPr>
        <w:spacing w:before="219"/>
        <w:ind w:left="601" w:right="617" w:firstLine="0"/>
        <w:jc w:val="center"/>
        <w:rPr>
          <w:b/>
          <w:sz w:val="16"/>
        </w:rPr>
      </w:pPr>
      <w:r>
        <w:rPr>
          <w:b/>
          <w:sz w:val="16"/>
        </w:rPr>
        <w:t>Figure 39.5: Sequence alignment of protein sequences.</w:t>
      </w:r>
    </w:p>
    <w:p>
      <w:pPr>
        <w:spacing w:after="0"/>
        <w:jc w:val="center"/>
        <w:rPr>
          <w:sz w:val="16"/>
        </w:rPr>
        <w:sectPr>
          <w:pgSz w:w="11910" w:h="16840"/>
          <w:pgMar w:header="722" w:footer="748" w:top="1300" w:bottom="940" w:left="1500" w:right="1480"/>
        </w:sectPr>
      </w:pPr>
    </w:p>
    <w:p>
      <w:pPr>
        <w:pStyle w:val="BodyText"/>
        <w:spacing w:before="11"/>
        <w:rPr>
          <w:b/>
          <w:sz w:val="10"/>
        </w:rPr>
      </w:pPr>
    </w:p>
    <w:p>
      <w:pPr>
        <w:pStyle w:val="BodyText"/>
        <w:ind w:left="485"/>
        <w:rPr>
          <w:sz w:val="20"/>
        </w:rPr>
      </w:pPr>
      <w:r>
        <w:rPr>
          <w:sz w:val="20"/>
        </w:rPr>
        <w:drawing>
          <wp:inline distT="0" distB="0" distL="0" distR="0">
            <wp:extent cx="5049929" cy="2962655"/>
            <wp:effectExtent l="0" t="0" r="0" b="0"/>
            <wp:docPr id="403" name="image206.png"/>
            <wp:cNvGraphicFramePr>
              <a:graphicFrameLocks noChangeAspect="1"/>
            </wp:cNvGraphicFramePr>
            <a:graphic>
              <a:graphicData uri="http://schemas.openxmlformats.org/drawingml/2006/picture">
                <pic:pic>
                  <pic:nvPicPr>
                    <pic:cNvPr id="404" name="image206.png"/>
                    <pic:cNvPicPr/>
                  </pic:nvPicPr>
                  <pic:blipFill>
                    <a:blip r:embed="rId229" cstate="print"/>
                    <a:stretch>
                      <a:fillRect/>
                    </a:stretch>
                  </pic:blipFill>
                  <pic:spPr>
                    <a:xfrm>
                      <a:off x="0" y="0"/>
                      <a:ext cx="5049929" cy="2962655"/>
                    </a:xfrm>
                    <a:prstGeom prst="rect">
                      <a:avLst/>
                    </a:prstGeom>
                  </pic:spPr>
                </pic:pic>
              </a:graphicData>
            </a:graphic>
          </wp:inline>
        </w:drawing>
      </w:r>
      <w:r>
        <w:rPr>
          <w:sz w:val="20"/>
        </w:rPr>
      </w:r>
    </w:p>
    <w:p>
      <w:pPr>
        <w:pStyle w:val="BodyText"/>
        <w:spacing w:before="3"/>
        <w:rPr>
          <w:b/>
          <w:sz w:val="20"/>
        </w:rPr>
      </w:pPr>
    </w:p>
    <w:p>
      <w:pPr>
        <w:spacing w:before="94"/>
        <w:ind w:left="598" w:right="617" w:firstLine="0"/>
        <w:jc w:val="center"/>
        <w:rPr>
          <w:b/>
          <w:sz w:val="16"/>
        </w:rPr>
      </w:pPr>
      <w:r>
        <w:rPr>
          <w:b/>
          <w:sz w:val="16"/>
        </w:rPr>
        <w:t>Figure 39.6: A typical phylogenetic tree</w:t>
      </w:r>
    </w:p>
    <w:p>
      <w:pPr>
        <w:pStyle w:val="BodyText"/>
        <w:spacing w:before="6"/>
        <w:rPr>
          <w:b/>
          <w:sz w:val="25"/>
        </w:rPr>
      </w:pPr>
    </w:p>
    <w:p>
      <w:pPr>
        <w:pStyle w:val="Heading4"/>
        <w:ind w:left="596" w:right="617"/>
        <w:jc w:val="center"/>
      </w:pPr>
      <w:r>
        <w:rPr/>
        <w:t>HOME ASSIGNMENT</w:t>
      </w:r>
    </w:p>
    <w:p>
      <w:pPr>
        <w:pStyle w:val="BodyText"/>
        <w:spacing w:before="2"/>
        <w:rPr>
          <w:b/>
          <w:sz w:val="29"/>
        </w:rPr>
      </w:pPr>
    </w:p>
    <w:p>
      <w:pPr>
        <w:pStyle w:val="ListParagraph"/>
        <w:numPr>
          <w:ilvl w:val="0"/>
          <w:numId w:val="45"/>
        </w:numPr>
        <w:tabs>
          <w:tab w:pos="555" w:val="left" w:leader="none"/>
        </w:tabs>
        <w:spacing w:line="278" w:lineRule="auto" w:before="0" w:after="0"/>
        <w:ind w:left="300" w:right="318" w:firstLine="0"/>
        <w:jc w:val="left"/>
        <w:rPr>
          <w:b/>
          <w:sz w:val="24"/>
        </w:rPr>
      </w:pPr>
      <w:r>
        <w:rPr>
          <w:b/>
          <w:sz w:val="24"/>
        </w:rPr>
        <w:t>Go to the plasmodium falciparum genome database (</w:t>
      </w:r>
      <w:hyperlink r:id="rId230">
        <w:r>
          <w:rPr>
            <w:b/>
            <w:color w:val="0000FF"/>
            <w:sz w:val="24"/>
            <w:u w:val="thick" w:color="0000FF"/>
          </w:rPr>
          <w:t>www.plasmodb.org</w:t>
        </w:r>
      </w:hyperlink>
      <w:r>
        <w:rPr>
          <w:b/>
          <w:sz w:val="24"/>
        </w:rPr>
        <w:t>) and down load the protein sequence with the plasmodb ID</w:t>
      </w:r>
      <w:r>
        <w:rPr>
          <w:b/>
          <w:spacing w:val="-10"/>
          <w:sz w:val="24"/>
        </w:rPr>
        <w:t> </w:t>
      </w:r>
      <w:r>
        <w:rPr>
          <w:b/>
          <w:sz w:val="24"/>
        </w:rPr>
        <w:t>PFD0975w.</w:t>
      </w:r>
    </w:p>
    <w:p>
      <w:pPr>
        <w:pStyle w:val="ListParagraph"/>
        <w:numPr>
          <w:ilvl w:val="0"/>
          <w:numId w:val="45"/>
        </w:numPr>
        <w:tabs>
          <w:tab w:pos="540" w:val="left" w:leader="none"/>
        </w:tabs>
        <w:spacing w:line="240" w:lineRule="auto" w:before="195" w:after="0"/>
        <w:ind w:left="540" w:right="0" w:hanging="240"/>
        <w:jc w:val="left"/>
        <w:rPr>
          <w:b/>
          <w:sz w:val="24"/>
        </w:rPr>
      </w:pPr>
      <w:r>
        <w:rPr>
          <w:b/>
          <w:sz w:val="24"/>
        </w:rPr>
        <w:t>Identify the homologous protein from human, mouse, e.coli and</w:t>
      </w:r>
      <w:r>
        <w:rPr>
          <w:b/>
          <w:spacing w:val="-16"/>
          <w:sz w:val="24"/>
        </w:rPr>
        <w:t> </w:t>
      </w:r>
      <w:r>
        <w:rPr>
          <w:b/>
          <w:sz w:val="24"/>
        </w:rPr>
        <w:t>neurospora.</w:t>
      </w:r>
    </w:p>
    <w:p>
      <w:pPr>
        <w:pStyle w:val="BodyText"/>
        <w:spacing w:before="1"/>
        <w:rPr>
          <w:b/>
          <w:sz w:val="21"/>
        </w:rPr>
      </w:pPr>
    </w:p>
    <w:p>
      <w:pPr>
        <w:pStyle w:val="ListParagraph"/>
        <w:numPr>
          <w:ilvl w:val="0"/>
          <w:numId w:val="45"/>
        </w:numPr>
        <w:tabs>
          <w:tab w:pos="540" w:val="left" w:leader="none"/>
        </w:tabs>
        <w:spacing w:line="276" w:lineRule="auto" w:before="0" w:after="0"/>
        <w:ind w:left="300" w:right="316" w:firstLine="0"/>
        <w:jc w:val="left"/>
        <w:rPr>
          <w:b/>
          <w:sz w:val="24"/>
        </w:rPr>
      </w:pPr>
      <w:r>
        <w:rPr>
          <w:b/>
          <w:sz w:val="24"/>
        </w:rPr>
        <w:t>Perform a sequence alignment with the clustalW and calculate the identity and similarity score between all</w:t>
      </w:r>
      <w:r>
        <w:rPr>
          <w:b/>
          <w:spacing w:val="-2"/>
          <w:sz w:val="24"/>
        </w:rPr>
        <w:t> </w:t>
      </w:r>
      <w:r>
        <w:rPr>
          <w:b/>
          <w:sz w:val="24"/>
        </w:rPr>
        <w:t>sequences.</w:t>
      </w:r>
    </w:p>
    <w:p>
      <w:pPr>
        <w:pStyle w:val="ListParagraph"/>
        <w:numPr>
          <w:ilvl w:val="0"/>
          <w:numId w:val="45"/>
        </w:numPr>
        <w:tabs>
          <w:tab w:pos="586" w:val="left" w:leader="none"/>
        </w:tabs>
        <w:spacing w:line="276" w:lineRule="auto" w:before="201" w:after="0"/>
        <w:ind w:left="300" w:right="317" w:firstLine="0"/>
        <w:jc w:val="left"/>
        <w:rPr>
          <w:b/>
          <w:sz w:val="24"/>
        </w:rPr>
      </w:pPr>
      <w:r>
        <w:rPr>
          <w:b/>
          <w:sz w:val="24"/>
        </w:rPr>
        <w:t>Using the data from the sequence alignment, draw a phylogenetic tree for PFD0975w.</w:t>
      </w:r>
    </w:p>
    <w:p>
      <w:pPr>
        <w:spacing w:after="0" w:line="276" w:lineRule="auto"/>
        <w:jc w:val="left"/>
        <w:rPr>
          <w:sz w:val="24"/>
        </w:rPr>
        <w:sectPr>
          <w:pgSz w:w="11910" w:h="16840"/>
          <w:pgMar w:header="722" w:footer="748" w:top="1300" w:bottom="940" w:left="1500" w:right="1480"/>
        </w:sectPr>
      </w:pPr>
    </w:p>
    <w:p>
      <w:pPr>
        <w:spacing w:before="124"/>
        <w:ind w:left="300" w:right="0" w:firstLine="0"/>
        <w:jc w:val="both"/>
        <w:rPr>
          <w:b/>
          <w:sz w:val="32"/>
        </w:rPr>
      </w:pPr>
      <w:r>
        <w:rPr>
          <w:b/>
          <w:sz w:val="32"/>
        </w:rPr>
        <w:t>Lecture 40 Computer Aided Drug Design</w:t>
      </w:r>
    </w:p>
    <w:p>
      <w:pPr>
        <w:pStyle w:val="BodyText"/>
        <w:spacing w:line="360" w:lineRule="auto" w:before="251"/>
        <w:ind w:left="299" w:right="313"/>
        <w:jc w:val="both"/>
      </w:pPr>
      <w:r>
        <w:rPr>
          <w:b/>
        </w:rPr>
        <w:t>Over-view of the computer-aided drug design-</w:t>
      </w:r>
      <w:r>
        <w:rPr/>
        <w:t>Drug design and discovery is a long process involving identification of suitable drug target, screening and selection of the inhibitor, toxicity analysis and pharmacological analysis of the inhibitor molecule to suit it for therapeutic purpose. The whole process of drug design and discovery through a traditional trial-and error approach is a lengthy, time consuming and costly process. With the evident advancement in the computational hardware and software, most of the drug discovery</w:t>
      </w:r>
    </w:p>
    <w:p>
      <w:pPr>
        <w:pStyle w:val="BodyText"/>
        <w:spacing w:before="6"/>
        <w:rPr>
          <w:sz w:val="14"/>
        </w:rPr>
      </w:pPr>
      <w:r>
        <w:rPr/>
        <w:drawing>
          <wp:anchor distT="0" distB="0" distL="0" distR="0" allowOverlap="1" layoutInCell="1" locked="0" behindDoc="0" simplePos="0" relativeHeight="353">
            <wp:simplePos x="0" y="0"/>
            <wp:positionH relativeFrom="page">
              <wp:posOffset>1224607</wp:posOffset>
            </wp:positionH>
            <wp:positionV relativeFrom="paragraph">
              <wp:posOffset>130802</wp:posOffset>
            </wp:positionV>
            <wp:extent cx="5116889" cy="2596896"/>
            <wp:effectExtent l="0" t="0" r="0" b="0"/>
            <wp:wrapTopAndBottom/>
            <wp:docPr id="405" name="image207.png"/>
            <wp:cNvGraphicFramePr>
              <a:graphicFrameLocks noChangeAspect="1"/>
            </wp:cNvGraphicFramePr>
            <a:graphic>
              <a:graphicData uri="http://schemas.openxmlformats.org/drawingml/2006/picture">
                <pic:pic>
                  <pic:nvPicPr>
                    <pic:cNvPr id="406" name="image207.png"/>
                    <pic:cNvPicPr/>
                  </pic:nvPicPr>
                  <pic:blipFill>
                    <a:blip r:embed="rId231" cstate="print"/>
                    <a:stretch>
                      <a:fillRect/>
                    </a:stretch>
                  </pic:blipFill>
                  <pic:spPr>
                    <a:xfrm>
                      <a:off x="0" y="0"/>
                      <a:ext cx="5116889" cy="2596896"/>
                    </a:xfrm>
                    <a:prstGeom prst="rect">
                      <a:avLst/>
                    </a:prstGeom>
                  </pic:spPr>
                </pic:pic>
              </a:graphicData>
            </a:graphic>
          </wp:anchor>
        </w:drawing>
      </w:r>
    </w:p>
    <w:p>
      <w:pPr>
        <w:pStyle w:val="BodyText"/>
        <w:spacing w:before="2"/>
        <w:rPr>
          <w:sz w:val="28"/>
        </w:rPr>
      </w:pPr>
    </w:p>
    <w:p>
      <w:pPr>
        <w:spacing w:before="0"/>
        <w:ind w:left="292" w:right="308" w:firstLine="0"/>
        <w:jc w:val="center"/>
        <w:rPr>
          <w:b/>
          <w:sz w:val="16"/>
        </w:rPr>
      </w:pPr>
      <w:r>
        <w:rPr>
          <w:b/>
          <w:sz w:val="16"/>
        </w:rPr>
        <w:t>Figure 40.1: An Over-view of the different approaches used during computer-aided drug design.</w:t>
      </w:r>
    </w:p>
    <w:p>
      <w:pPr>
        <w:pStyle w:val="BodyText"/>
        <w:rPr>
          <w:b/>
          <w:sz w:val="18"/>
        </w:rPr>
      </w:pPr>
    </w:p>
    <w:p>
      <w:pPr>
        <w:pStyle w:val="BodyText"/>
        <w:spacing w:before="9"/>
        <w:rPr>
          <w:b/>
          <w:sz w:val="18"/>
        </w:rPr>
      </w:pPr>
    </w:p>
    <w:p>
      <w:pPr>
        <w:pStyle w:val="BodyText"/>
        <w:spacing w:line="360" w:lineRule="auto"/>
        <w:ind w:left="300" w:right="317"/>
        <w:jc w:val="both"/>
      </w:pPr>
      <w:r>
        <w:rPr/>
        <w:t>steps can be performed (Figure 40.1). In a computer aided drug design approach, a drug target is selected from the database and a 3-D structure is determined experimentally or if the homologous structure is known then a homology model is generated. Once the structure of the enzyme is known, active site of the enzyme is mapped by structural comparison with known enzyme. Two approaches can be used to design the inhibitor molecule against the enzyme, pharmacophore approach or the docking with the random inhibitor molecules from the different chemical libraries. Top selected inhibitor molecules can further validated in the in-silico toxicity analysis and pharmacokinetic parameters. The best molecule can be tested further in the wet lab experiment to validate the computational results and a series of clinical trials are needed before allowing therapeutic</w:t>
      </w:r>
      <w:r>
        <w:rPr>
          <w:spacing w:val="-4"/>
        </w:rPr>
        <w:t> </w:t>
      </w:r>
      <w:r>
        <w:rPr/>
        <w:t>applications.</w:t>
      </w:r>
    </w:p>
    <w:p>
      <w:pPr>
        <w:spacing w:after="0" w:line="360" w:lineRule="auto"/>
        <w:jc w:val="both"/>
        <w:sectPr>
          <w:pgSz w:w="11910" w:h="16840"/>
          <w:pgMar w:header="722" w:footer="748" w:top="1300" w:bottom="940" w:left="1500" w:right="1480"/>
        </w:sectPr>
      </w:pPr>
    </w:p>
    <w:p>
      <w:pPr>
        <w:pStyle w:val="BodyText"/>
        <w:spacing w:line="360" w:lineRule="auto" w:before="119"/>
        <w:ind w:left="300" w:right="318"/>
        <w:jc w:val="both"/>
      </w:pPr>
      <w:r>
        <w:rPr/>
        <w:t>Each step of the computer aided drug design can be performed by multiple softwares with different algorithms. To understand the whole process of computer aided drug design, we will take an example of an enzyme and try to design the inhibitors. This complete process has following steps:</w:t>
      </w:r>
    </w:p>
    <w:p>
      <w:pPr>
        <w:pStyle w:val="Heading4"/>
        <w:numPr>
          <w:ilvl w:val="0"/>
          <w:numId w:val="46"/>
        </w:numPr>
        <w:tabs>
          <w:tab w:pos="540" w:val="left" w:leader="none"/>
        </w:tabs>
        <w:spacing w:line="240" w:lineRule="auto" w:before="204" w:after="0"/>
        <w:ind w:left="540" w:right="0" w:hanging="241"/>
        <w:jc w:val="both"/>
      </w:pPr>
      <w:r>
        <w:rPr/>
        <w:t>Strutural Determination of the target</w:t>
      </w:r>
      <w:r>
        <w:rPr>
          <w:spacing w:val="-2"/>
        </w:rPr>
        <w:t> </w:t>
      </w:r>
      <w:r>
        <w:rPr/>
        <w:t>enzyme</w:t>
      </w:r>
    </w:p>
    <w:p>
      <w:pPr>
        <w:pStyle w:val="BodyText"/>
        <w:spacing w:before="8"/>
        <w:rPr>
          <w:b/>
          <w:sz w:val="20"/>
        </w:rPr>
      </w:pPr>
    </w:p>
    <w:p>
      <w:pPr>
        <w:pStyle w:val="ListParagraph"/>
        <w:numPr>
          <w:ilvl w:val="0"/>
          <w:numId w:val="47"/>
        </w:numPr>
        <w:tabs>
          <w:tab w:pos="634" w:val="left" w:leader="none"/>
        </w:tabs>
        <w:spacing w:line="360" w:lineRule="auto" w:before="0" w:after="0"/>
        <w:ind w:left="299" w:right="317" w:firstLine="0"/>
        <w:jc w:val="both"/>
        <w:rPr>
          <w:sz w:val="24"/>
        </w:rPr>
      </w:pPr>
      <w:r>
        <w:rPr>
          <w:b/>
          <w:sz w:val="24"/>
        </w:rPr>
        <w:t>Experimental Methods: </w:t>
      </w:r>
      <w:r>
        <w:rPr>
          <w:sz w:val="24"/>
        </w:rPr>
        <w:t>X-ray crystallography and NMR spectroscopy are the two methods can be used to determine the 3-dimensional structure of the target enzyme.</w:t>
      </w:r>
    </w:p>
    <w:p>
      <w:pPr>
        <w:pStyle w:val="BodyText"/>
        <w:spacing w:before="6"/>
        <w:rPr>
          <w:sz w:val="14"/>
        </w:rPr>
      </w:pPr>
      <w:r>
        <w:rPr/>
        <w:pict>
          <v:shape style="position:absolute;margin-left:92.880501pt;margin-top:10.568504pt;width:409.6pt;height:140.9pt;mso-position-horizontal-relative:page;mso-position-vertical-relative:paragraph;z-index:-15547392;mso-wrap-distance-left:0;mso-wrap-distance-right:0" type="#_x0000_t202" filled="true" fillcolor="#ffff00" stroked="true" strokeweight=".48pt" strokecolor="#000000">
            <v:textbox inset="0,0,0,0">
              <w:txbxContent>
                <w:p>
                  <w:pPr>
                    <w:spacing w:line="242" w:lineRule="auto" w:before="0"/>
                    <w:ind w:left="103" w:right="13" w:firstLine="0"/>
                    <w:jc w:val="left"/>
                    <w:rPr>
                      <w:b/>
                      <w:sz w:val="24"/>
                    </w:rPr>
                  </w:pPr>
                  <w:r>
                    <w:rPr>
                      <w:b/>
                      <w:color w:val="C00000"/>
                      <w:sz w:val="24"/>
                    </w:rPr>
                    <w:t>I suggests to go through the following articles to get full detail of these structure solution processes.</w:t>
                  </w:r>
                </w:p>
                <w:p>
                  <w:pPr>
                    <w:pStyle w:val="BodyText"/>
                    <w:numPr>
                      <w:ilvl w:val="0"/>
                      <w:numId w:val="48"/>
                    </w:numPr>
                    <w:tabs>
                      <w:tab w:pos="346" w:val="left" w:leader="none"/>
                    </w:tabs>
                    <w:spacing w:line="240" w:lineRule="auto" w:before="185" w:after="0"/>
                    <w:ind w:left="103" w:right="100" w:firstLine="0"/>
                    <w:jc w:val="both"/>
                  </w:pPr>
                  <w:r>
                    <w:rPr/>
                    <w:t>RRM-RNA recognition: NMR or </w:t>
                  </w:r>
                  <w:r>
                    <w:rPr>
                      <w:b/>
                    </w:rPr>
                    <w:t>crystallography</w:t>
                  </w:r>
                  <w:r>
                    <w:rPr/>
                    <w:t>…and new findings. Daubner GM, Cléry A, Allain FH. Curr Opin Struct Biol. 2013 Feb;23(1):100-8. </w:t>
                  </w:r>
                  <w:r>
                    <w:rPr>
                      <w:b/>
                      <w:color w:val="C00000"/>
                    </w:rPr>
                    <w:t>PMID: 23253355</w:t>
                  </w:r>
                  <w:r>
                    <w:rPr/>
                    <w:t>.</w:t>
                  </w:r>
                </w:p>
                <w:p>
                  <w:pPr>
                    <w:pStyle w:val="BodyText"/>
                    <w:numPr>
                      <w:ilvl w:val="0"/>
                      <w:numId w:val="48"/>
                    </w:numPr>
                    <w:tabs>
                      <w:tab w:pos="356" w:val="left" w:leader="none"/>
                    </w:tabs>
                    <w:spacing w:line="240" w:lineRule="auto" w:before="200" w:after="0"/>
                    <w:ind w:left="103" w:right="105" w:firstLine="0"/>
                    <w:jc w:val="both"/>
                  </w:pPr>
                  <w:r>
                    <w:rPr>
                      <w:b/>
                    </w:rPr>
                    <w:t>Protein </w:t>
                  </w:r>
                  <w:r>
                    <w:rPr/>
                    <w:t>structure determination by magic-angle spinning solid-state </w:t>
                  </w:r>
                  <w:r>
                    <w:rPr>
                      <w:b/>
                    </w:rPr>
                    <w:t>NMR</w:t>
                  </w:r>
                  <w:r>
                    <w:rPr/>
                    <w:t>, and insights into the formation, structure, and stability of amyloid fibrils. Comellas G, Rienstra CM. Annu Rev Biophys. 2013;42:515-36. </w:t>
                  </w:r>
                  <w:r>
                    <w:rPr>
                      <w:b/>
                      <w:color w:val="C00000"/>
                    </w:rPr>
                    <w:t>PMID:</w:t>
                  </w:r>
                  <w:r>
                    <w:rPr>
                      <w:b/>
                      <w:color w:val="C00000"/>
                      <w:spacing w:val="-5"/>
                    </w:rPr>
                    <w:t> </w:t>
                  </w:r>
                  <w:r>
                    <w:rPr>
                      <w:b/>
                      <w:color w:val="C00000"/>
                    </w:rPr>
                    <w:t>235277</w:t>
                  </w:r>
                  <w:r>
                    <w:rPr/>
                    <w:t>.</w:t>
                  </w:r>
                </w:p>
              </w:txbxContent>
            </v:textbox>
            <v:fill type="solid"/>
            <v:stroke dashstyle="solid"/>
            <w10:wrap type="topAndBottom"/>
          </v:shape>
        </w:pict>
      </w:r>
    </w:p>
    <w:p>
      <w:pPr>
        <w:pStyle w:val="BodyText"/>
        <w:rPr>
          <w:sz w:val="20"/>
        </w:rPr>
      </w:pPr>
    </w:p>
    <w:p>
      <w:pPr>
        <w:pStyle w:val="BodyText"/>
        <w:spacing w:before="6"/>
        <w:rPr>
          <w:sz w:val="22"/>
        </w:rPr>
      </w:pPr>
    </w:p>
    <w:p>
      <w:pPr>
        <w:pStyle w:val="ListParagraph"/>
        <w:numPr>
          <w:ilvl w:val="0"/>
          <w:numId w:val="47"/>
        </w:numPr>
        <w:tabs>
          <w:tab w:pos="608" w:val="left" w:leader="none"/>
        </w:tabs>
        <w:spacing w:line="360" w:lineRule="auto" w:before="90" w:after="0"/>
        <w:ind w:left="299" w:right="317" w:firstLine="0"/>
        <w:jc w:val="both"/>
        <w:rPr>
          <w:sz w:val="24"/>
        </w:rPr>
      </w:pPr>
      <w:r>
        <w:rPr>
          <w:b/>
          <w:sz w:val="24"/>
        </w:rPr>
        <w:t>Homology modeling- </w:t>
      </w:r>
      <w:r>
        <w:rPr>
          <w:sz w:val="24"/>
        </w:rPr>
        <w:t>This is a useful and fast structural solution method where the sequence similarities between the template and the target enzyme is used to model the 3-dimensional structure of the target enzyme. The homology modeling exploits the idea that the amino acid sequence of a protein directs the folding of the molecule to adopt a suitable 3-dimensional conformation with minimum free</w:t>
      </w:r>
      <w:r>
        <w:rPr>
          <w:spacing w:val="-8"/>
          <w:sz w:val="24"/>
        </w:rPr>
        <w:t> </w:t>
      </w:r>
      <w:r>
        <w:rPr>
          <w:sz w:val="24"/>
        </w:rPr>
        <w:t>energy.</w:t>
      </w:r>
    </w:p>
    <w:p>
      <w:pPr>
        <w:pStyle w:val="BodyText"/>
        <w:spacing w:line="360" w:lineRule="auto" w:before="198"/>
        <w:ind w:left="300" w:right="317"/>
        <w:jc w:val="both"/>
      </w:pPr>
      <w:r>
        <w:rPr>
          <w:b/>
        </w:rPr>
        <w:t>Different steps in homology modeling-</w:t>
      </w:r>
      <w:r>
        <w:rPr/>
        <w:t>Several softwares are available to perform homology modeling of a given protein sequence (Table 40.1). Homology modeling is a multistep process and it has following steps:</w:t>
      </w:r>
    </w:p>
    <w:p>
      <w:pPr>
        <w:pStyle w:val="BodyText"/>
        <w:spacing w:line="360" w:lineRule="auto" w:before="201"/>
        <w:ind w:left="300" w:right="314"/>
        <w:jc w:val="both"/>
      </w:pPr>
      <w:r>
        <w:rPr>
          <w:b/>
        </w:rPr>
        <w:t>Step I : Identification of a suitable target-</w:t>
      </w:r>
      <w:r>
        <w:rPr/>
        <w:t>Identification of a suitable template structure is the most crucial step to generate a good quality homology model. The target sequence is blasted into the protein strucuture database (</w:t>
      </w:r>
      <w:hyperlink r:id="rId232">
        <w:r>
          <w:rPr>
            <w:color w:val="0000FF"/>
            <w:u w:val="single" w:color="0000FF"/>
          </w:rPr>
          <w:t>www.rcsb.org</w:t>
        </w:r>
      </w:hyperlink>
      <w:r>
        <w:rPr/>
        <w:t>) using PSI-Blast.</w:t>
      </w:r>
    </w:p>
    <w:p>
      <w:pPr>
        <w:spacing w:after="0" w:line="360" w:lineRule="auto"/>
        <w:jc w:val="both"/>
        <w:sectPr>
          <w:pgSz w:w="11910" w:h="16840"/>
          <w:pgMar w:header="722" w:footer="748" w:top="1300" w:bottom="940" w:left="1500" w:right="1480"/>
        </w:sectPr>
      </w:pPr>
    </w:p>
    <w:p>
      <w:pPr>
        <w:pStyle w:val="BodyText"/>
        <w:spacing w:line="360" w:lineRule="auto" w:before="124"/>
        <w:ind w:left="300" w:right="315"/>
        <w:jc w:val="both"/>
      </w:pPr>
      <w:r>
        <w:rPr>
          <w:b/>
        </w:rPr>
        <w:t>Step II: Sequence Alignment between target and template protein sequence- </w:t>
      </w:r>
      <w:r>
        <w:rPr/>
        <w:t>target protein sequence is aligned against the template protein sequence using pairwise or multiple sequence alignment (in case if more than one template proteins). A sequence identity of more than 70% between template and target protein allows structure prediction accurately. A sequence identity less than 30% makes structure prediction and modeling of target protein</w:t>
      </w:r>
      <w:r>
        <w:rPr>
          <w:spacing w:val="-2"/>
        </w:rPr>
        <w:t> </w:t>
      </w:r>
      <w:r>
        <w:rPr/>
        <w:t>difficult.</w:t>
      </w:r>
    </w:p>
    <w:p>
      <w:pPr>
        <w:pStyle w:val="BodyText"/>
        <w:spacing w:line="360" w:lineRule="auto" w:before="195"/>
        <w:ind w:left="300" w:right="316"/>
        <w:jc w:val="both"/>
      </w:pPr>
      <w:r>
        <w:rPr>
          <w:b/>
        </w:rPr>
        <w:t>Step III: Model building-</w:t>
      </w:r>
      <w:r>
        <w:rPr/>
        <w:t>Template co-ordinates and the alignment information is used to generate a 3-D structure model of the target protein. Fragment analysis and segment analysis are two methods been used to generate the model building. The loop modeling approach is used to model low identity amino stretch in the target protein.</w:t>
      </w:r>
    </w:p>
    <w:p>
      <w:pPr>
        <w:spacing w:line="360" w:lineRule="auto" w:before="201"/>
        <w:ind w:left="300" w:right="315" w:firstLine="0"/>
        <w:jc w:val="both"/>
        <w:rPr>
          <w:sz w:val="24"/>
        </w:rPr>
      </w:pPr>
      <w:r>
        <w:rPr>
          <w:b/>
          <w:sz w:val="24"/>
        </w:rPr>
        <w:t>Step IV: Energy minimization-</w:t>
      </w:r>
      <w:r>
        <w:rPr>
          <w:sz w:val="24"/>
        </w:rPr>
        <w:t>The modeled structure is energy-minimized to obtain the most stable 3-D conformation of the protein.</w:t>
      </w:r>
    </w:p>
    <w:p>
      <w:pPr>
        <w:pStyle w:val="BodyText"/>
        <w:spacing w:line="360" w:lineRule="auto" w:before="200"/>
        <w:ind w:left="300" w:right="315"/>
        <w:jc w:val="both"/>
      </w:pPr>
      <w:r>
        <w:rPr>
          <w:b/>
        </w:rPr>
        <w:t>Step V: Structure validation-</w:t>
      </w:r>
      <w:r>
        <w:rPr/>
        <w:t>The 3-D model of the protein is validated by Ramchandran Plot, Procheck,Verify-3D, Errat Plot. Struture validation can be performed by the structure analysis and validation (SAVS) server </w:t>
      </w:r>
      <w:hyperlink r:id="rId233">
        <w:r>
          <w:rPr/>
          <w:t>http://nihserver.mbi.ucla.edu/.</w:t>
        </w:r>
      </w:hyperlink>
    </w:p>
    <w:p>
      <w:pPr>
        <w:pStyle w:val="BodyText"/>
        <w:spacing w:before="9"/>
        <w:rPr>
          <w:sz w:val="17"/>
        </w:rPr>
      </w:pPr>
    </w:p>
    <w:tbl>
      <w:tblPr>
        <w:tblW w:w="0" w:type="auto"/>
        <w:jc w:val="left"/>
        <w:tblInd w:w="1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898"/>
        <w:gridCol w:w="6633"/>
      </w:tblGrid>
      <w:tr>
        <w:trPr>
          <w:trHeight w:val="184" w:hRule="atLeast"/>
        </w:trPr>
        <w:tc>
          <w:tcPr>
            <w:tcW w:w="1898" w:type="dxa"/>
            <w:tcBorders>
              <w:top w:val="single" w:sz="4" w:space="0" w:color="000000"/>
              <w:bottom w:val="single" w:sz="4" w:space="0" w:color="000000"/>
            </w:tcBorders>
          </w:tcPr>
          <w:p>
            <w:pPr>
              <w:pStyle w:val="TableParagraph"/>
              <w:spacing w:line="240" w:lineRule="auto"/>
              <w:ind w:left="0"/>
              <w:rPr>
                <w:sz w:val="12"/>
              </w:rPr>
            </w:pPr>
          </w:p>
        </w:tc>
        <w:tc>
          <w:tcPr>
            <w:tcW w:w="6633" w:type="dxa"/>
            <w:tcBorders>
              <w:top w:val="single" w:sz="4" w:space="0" w:color="000000"/>
              <w:bottom w:val="single" w:sz="4" w:space="0" w:color="000000"/>
            </w:tcBorders>
          </w:tcPr>
          <w:p>
            <w:pPr>
              <w:pStyle w:val="TableParagraph"/>
              <w:spacing w:line="164" w:lineRule="exact"/>
              <w:ind w:left="255"/>
              <w:rPr>
                <w:b/>
                <w:sz w:val="16"/>
              </w:rPr>
            </w:pPr>
            <w:r>
              <w:rPr>
                <w:b/>
                <w:sz w:val="16"/>
              </w:rPr>
              <w:t>Table 40.1: Table of selected software for homology modeling.</w:t>
            </w:r>
          </w:p>
        </w:tc>
      </w:tr>
      <w:tr>
        <w:trPr>
          <w:trHeight w:val="275" w:hRule="atLeast"/>
        </w:trPr>
        <w:tc>
          <w:tcPr>
            <w:tcW w:w="1898" w:type="dxa"/>
            <w:tcBorders>
              <w:top w:val="single" w:sz="4" w:space="0" w:color="000000"/>
              <w:bottom w:val="single" w:sz="4" w:space="0" w:color="000000"/>
            </w:tcBorders>
          </w:tcPr>
          <w:p>
            <w:pPr>
              <w:pStyle w:val="TableParagraph"/>
              <w:spacing w:line="256" w:lineRule="exact"/>
              <w:ind w:left="116"/>
              <w:rPr>
                <w:b/>
                <w:sz w:val="24"/>
              </w:rPr>
            </w:pPr>
            <w:r>
              <w:rPr>
                <w:b/>
                <w:sz w:val="24"/>
              </w:rPr>
              <w:t>Softwares</w:t>
            </w:r>
          </w:p>
        </w:tc>
        <w:tc>
          <w:tcPr>
            <w:tcW w:w="6633" w:type="dxa"/>
            <w:tcBorders>
              <w:top w:val="single" w:sz="4" w:space="0" w:color="000000"/>
              <w:bottom w:val="single" w:sz="4" w:space="0" w:color="000000"/>
            </w:tcBorders>
          </w:tcPr>
          <w:p>
            <w:pPr>
              <w:pStyle w:val="TableParagraph"/>
              <w:spacing w:line="256" w:lineRule="exact"/>
              <w:ind w:left="421"/>
              <w:rPr>
                <w:b/>
                <w:sz w:val="24"/>
              </w:rPr>
            </w:pPr>
            <w:r>
              <w:rPr>
                <w:b/>
                <w:sz w:val="24"/>
              </w:rPr>
              <w:t>The utility of the software</w:t>
            </w:r>
          </w:p>
        </w:tc>
      </w:tr>
      <w:tr>
        <w:trPr>
          <w:trHeight w:val="548" w:hRule="atLeast"/>
        </w:trPr>
        <w:tc>
          <w:tcPr>
            <w:tcW w:w="1898" w:type="dxa"/>
            <w:tcBorders>
              <w:top w:val="single" w:sz="4" w:space="0" w:color="000000"/>
            </w:tcBorders>
          </w:tcPr>
          <w:p>
            <w:pPr>
              <w:pStyle w:val="TableParagraph"/>
              <w:spacing w:line="268" w:lineRule="exact"/>
              <w:ind w:left="116"/>
              <w:rPr>
                <w:sz w:val="24"/>
              </w:rPr>
            </w:pPr>
            <w:r>
              <w:rPr>
                <w:sz w:val="24"/>
              </w:rPr>
              <w:t>RaptorX</w:t>
            </w:r>
          </w:p>
        </w:tc>
        <w:tc>
          <w:tcPr>
            <w:tcW w:w="6633" w:type="dxa"/>
            <w:tcBorders>
              <w:top w:val="single" w:sz="4" w:space="0" w:color="000000"/>
            </w:tcBorders>
          </w:tcPr>
          <w:p>
            <w:pPr>
              <w:pStyle w:val="TableParagraph"/>
              <w:spacing w:line="268" w:lineRule="exact"/>
              <w:ind w:left="421"/>
              <w:rPr>
                <w:sz w:val="24"/>
              </w:rPr>
            </w:pPr>
            <w:r>
              <w:rPr>
                <w:sz w:val="24"/>
              </w:rPr>
              <w:t>The software is developed by Xu Group. Latest version</w:t>
            </w:r>
            <w:r>
              <w:rPr>
                <w:spacing w:val="-13"/>
                <w:sz w:val="24"/>
              </w:rPr>
              <w:t> </w:t>
            </w:r>
            <w:r>
              <w:rPr>
                <w:sz w:val="24"/>
              </w:rPr>
              <w:t>has</w:t>
            </w:r>
          </w:p>
          <w:p>
            <w:pPr>
              <w:pStyle w:val="TableParagraph"/>
              <w:spacing w:line="261" w:lineRule="exact"/>
              <w:ind w:left="421"/>
              <w:rPr>
                <w:sz w:val="24"/>
              </w:rPr>
            </w:pPr>
            <w:r>
              <w:rPr>
                <w:sz w:val="24"/>
              </w:rPr>
              <w:t>four module. It is available as a software and a web</w:t>
            </w:r>
            <w:r>
              <w:rPr>
                <w:spacing w:val="-16"/>
                <w:sz w:val="24"/>
              </w:rPr>
              <w:t> </w:t>
            </w:r>
            <w:r>
              <w:rPr>
                <w:sz w:val="24"/>
              </w:rPr>
              <w:t>service.</w:t>
            </w:r>
          </w:p>
        </w:tc>
      </w:tr>
      <w:tr>
        <w:trPr>
          <w:trHeight w:val="552" w:hRule="atLeast"/>
        </w:trPr>
        <w:tc>
          <w:tcPr>
            <w:tcW w:w="1898" w:type="dxa"/>
          </w:tcPr>
          <w:p>
            <w:pPr>
              <w:pStyle w:val="TableParagraph"/>
              <w:spacing w:line="271" w:lineRule="exact"/>
              <w:ind w:left="116"/>
              <w:rPr>
                <w:sz w:val="24"/>
              </w:rPr>
            </w:pPr>
            <w:r>
              <w:rPr>
                <w:sz w:val="24"/>
              </w:rPr>
              <w:t>ModPipe</w:t>
            </w:r>
          </w:p>
        </w:tc>
        <w:tc>
          <w:tcPr>
            <w:tcW w:w="6633" w:type="dxa"/>
          </w:tcPr>
          <w:p>
            <w:pPr>
              <w:pStyle w:val="TableParagraph"/>
              <w:spacing w:line="271" w:lineRule="exact"/>
              <w:ind w:left="421"/>
              <w:rPr>
                <w:sz w:val="24"/>
              </w:rPr>
            </w:pPr>
            <w:r>
              <w:rPr>
                <w:sz w:val="24"/>
              </w:rPr>
              <w:t>It is a complete automated software. It is free and a open</w:t>
            </w:r>
          </w:p>
          <w:p>
            <w:pPr>
              <w:pStyle w:val="TableParagraph"/>
              <w:spacing w:line="261" w:lineRule="exact"/>
              <w:ind w:left="421"/>
              <w:rPr>
                <w:sz w:val="24"/>
              </w:rPr>
            </w:pPr>
            <w:r>
              <w:rPr>
                <w:sz w:val="24"/>
              </w:rPr>
              <w:t>source software.</w:t>
            </w:r>
          </w:p>
        </w:tc>
      </w:tr>
      <w:tr>
        <w:trPr>
          <w:trHeight w:val="551" w:hRule="atLeast"/>
        </w:trPr>
        <w:tc>
          <w:tcPr>
            <w:tcW w:w="1898" w:type="dxa"/>
          </w:tcPr>
          <w:p>
            <w:pPr>
              <w:pStyle w:val="TableParagraph"/>
              <w:spacing w:line="271" w:lineRule="exact"/>
              <w:ind w:left="116"/>
              <w:rPr>
                <w:sz w:val="24"/>
              </w:rPr>
            </w:pPr>
            <w:r>
              <w:rPr>
                <w:sz w:val="24"/>
              </w:rPr>
              <w:t>Biskit</w:t>
            </w:r>
          </w:p>
        </w:tc>
        <w:tc>
          <w:tcPr>
            <w:tcW w:w="6633" w:type="dxa"/>
          </w:tcPr>
          <w:p>
            <w:pPr>
              <w:pStyle w:val="TableParagraph"/>
              <w:spacing w:line="271" w:lineRule="exact"/>
              <w:ind w:left="421"/>
              <w:rPr>
                <w:sz w:val="24"/>
              </w:rPr>
            </w:pPr>
            <w:r>
              <w:rPr>
                <w:sz w:val="24"/>
              </w:rPr>
              <w:t>It is free and open source and developed by the institute</w:t>
            </w:r>
          </w:p>
          <w:p>
            <w:pPr>
              <w:pStyle w:val="TableParagraph"/>
              <w:spacing w:line="261" w:lineRule="exact"/>
              <w:ind w:left="421"/>
              <w:rPr>
                <w:sz w:val="24"/>
              </w:rPr>
            </w:pPr>
            <w:r>
              <w:rPr>
                <w:sz w:val="24"/>
              </w:rPr>
              <w:t>Pasteur.</w:t>
            </w:r>
          </w:p>
        </w:tc>
      </w:tr>
      <w:tr>
        <w:trPr>
          <w:trHeight w:val="276" w:hRule="atLeast"/>
        </w:trPr>
        <w:tc>
          <w:tcPr>
            <w:tcW w:w="1898" w:type="dxa"/>
          </w:tcPr>
          <w:p>
            <w:pPr>
              <w:pStyle w:val="TableParagraph"/>
              <w:spacing w:line="256" w:lineRule="exact"/>
              <w:ind w:left="116"/>
              <w:rPr>
                <w:sz w:val="24"/>
              </w:rPr>
            </w:pPr>
            <w:r>
              <w:rPr>
                <w:sz w:val="24"/>
              </w:rPr>
              <w:t>SCRWL</w:t>
            </w:r>
          </w:p>
        </w:tc>
        <w:tc>
          <w:tcPr>
            <w:tcW w:w="6633" w:type="dxa"/>
          </w:tcPr>
          <w:p>
            <w:pPr>
              <w:pStyle w:val="TableParagraph"/>
              <w:spacing w:line="256" w:lineRule="exact"/>
              <w:ind w:left="421"/>
              <w:rPr>
                <w:sz w:val="24"/>
              </w:rPr>
            </w:pPr>
            <w:r>
              <w:rPr>
                <w:sz w:val="24"/>
              </w:rPr>
              <w:t>The software is developed by the dunbrack lab.</w:t>
            </w:r>
          </w:p>
        </w:tc>
      </w:tr>
      <w:tr>
        <w:trPr>
          <w:trHeight w:val="551" w:hRule="atLeast"/>
        </w:trPr>
        <w:tc>
          <w:tcPr>
            <w:tcW w:w="1898" w:type="dxa"/>
          </w:tcPr>
          <w:p>
            <w:pPr>
              <w:pStyle w:val="TableParagraph"/>
              <w:spacing w:line="271" w:lineRule="exact"/>
              <w:ind w:left="116"/>
              <w:rPr>
                <w:sz w:val="24"/>
              </w:rPr>
            </w:pPr>
            <w:r>
              <w:rPr>
                <w:sz w:val="24"/>
              </w:rPr>
              <w:t>TASSER-Lite</w:t>
            </w:r>
          </w:p>
        </w:tc>
        <w:tc>
          <w:tcPr>
            <w:tcW w:w="6633" w:type="dxa"/>
          </w:tcPr>
          <w:p>
            <w:pPr>
              <w:pStyle w:val="TableParagraph"/>
              <w:spacing w:line="271" w:lineRule="exact"/>
              <w:ind w:left="421"/>
              <w:rPr>
                <w:sz w:val="24"/>
              </w:rPr>
            </w:pPr>
            <w:r>
              <w:rPr>
                <w:sz w:val="24"/>
              </w:rPr>
              <w:t>It can be use to model and target protein with a sequence</w:t>
            </w:r>
          </w:p>
          <w:p>
            <w:pPr>
              <w:pStyle w:val="TableParagraph"/>
              <w:spacing w:line="261" w:lineRule="exact"/>
              <w:ind w:left="421"/>
              <w:rPr>
                <w:sz w:val="24"/>
              </w:rPr>
            </w:pPr>
            <w:r>
              <w:rPr>
                <w:sz w:val="24"/>
              </w:rPr>
              <w:t>identity more than 25% to the template.</w:t>
            </w:r>
          </w:p>
        </w:tc>
      </w:tr>
      <w:tr>
        <w:trPr>
          <w:trHeight w:val="828" w:hRule="atLeast"/>
        </w:trPr>
        <w:tc>
          <w:tcPr>
            <w:tcW w:w="1898" w:type="dxa"/>
          </w:tcPr>
          <w:p>
            <w:pPr>
              <w:pStyle w:val="TableParagraph"/>
              <w:spacing w:line="271" w:lineRule="exact"/>
              <w:ind w:left="116"/>
              <w:rPr>
                <w:sz w:val="24"/>
              </w:rPr>
            </w:pPr>
            <w:r>
              <w:rPr>
                <w:sz w:val="24"/>
              </w:rPr>
              <w:t>ProModel</w:t>
            </w:r>
          </w:p>
        </w:tc>
        <w:tc>
          <w:tcPr>
            <w:tcW w:w="6633" w:type="dxa"/>
          </w:tcPr>
          <w:p>
            <w:pPr>
              <w:pStyle w:val="TableParagraph"/>
              <w:spacing w:line="240" w:lineRule="auto"/>
              <w:ind w:left="421" w:right="200"/>
              <w:rPr>
                <w:sz w:val="24"/>
              </w:rPr>
            </w:pPr>
            <w:r>
              <w:rPr>
                <w:sz w:val="24"/>
              </w:rPr>
              <w:t>Homology modeling from selected template or user provided template. It can allow to mutation, excision, deletion etc in the</w:t>
            </w:r>
          </w:p>
          <w:p>
            <w:pPr>
              <w:pStyle w:val="TableParagraph"/>
              <w:spacing w:line="261" w:lineRule="exact"/>
              <w:ind w:left="421"/>
              <w:rPr>
                <w:sz w:val="24"/>
              </w:rPr>
            </w:pPr>
            <w:r>
              <w:rPr>
                <w:sz w:val="24"/>
              </w:rPr>
              <w:t>target protein.</w:t>
            </w:r>
          </w:p>
        </w:tc>
      </w:tr>
      <w:tr>
        <w:trPr>
          <w:trHeight w:val="275" w:hRule="atLeast"/>
        </w:trPr>
        <w:tc>
          <w:tcPr>
            <w:tcW w:w="1898" w:type="dxa"/>
          </w:tcPr>
          <w:p>
            <w:pPr>
              <w:pStyle w:val="TableParagraph"/>
              <w:spacing w:line="256" w:lineRule="exact"/>
              <w:ind w:left="116"/>
              <w:rPr>
                <w:sz w:val="24"/>
              </w:rPr>
            </w:pPr>
            <w:r>
              <w:rPr>
                <w:sz w:val="24"/>
              </w:rPr>
              <w:t>LOMETS</w:t>
            </w:r>
          </w:p>
        </w:tc>
        <w:tc>
          <w:tcPr>
            <w:tcW w:w="6633" w:type="dxa"/>
          </w:tcPr>
          <w:p>
            <w:pPr>
              <w:pStyle w:val="TableParagraph"/>
              <w:spacing w:line="256" w:lineRule="exact"/>
              <w:ind w:left="421"/>
              <w:rPr>
                <w:sz w:val="24"/>
              </w:rPr>
            </w:pPr>
            <w:r>
              <w:rPr>
                <w:sz w:val="24"/>
              </w:rPr>
              <w:t>Online web service for protein structure modeling.</w:t>
            </w:r>
          </w:p>
        </w:tc>
      </w:tr>
      <w:tr>
        <w:trPr>
          <w:trHeight w:val="552" w:hRule="atLeast"/>
        </w:trPr>
        <w:tc>
          <w:tcPr>
            <w:tcW w:w="1898" w:type="dxa"/>
          </w:tcPr>
          <w:p>
            <w:pPr>
              <w:pStyle w:val="TableParagraph"/>
              <w:spacing w:line="271" w:lineRule="exact"/>
              <w:ind w:left="116"/>
              <w:rPr>
                <w:sz w:val="24"/>
              </w:rPr>
            </w:pPr>
            <w:r>
              <w:rPr>
                <w:sz w:val="24"/>
              </w:rPr>
              <w:t>I-TASSER</w:t>
            </w:r>
          </w:p>
        </w:tc>
        <w:tc>
          <w:tcPr>
            <w:tcW w:w="6633" w:type="dxa"/>
          </w:tcPr>
          <w:p>
            <w:pPr>
              <w:pStyle w:val="TableParagraph"/>
              <w:spacing w:line="271" w:lineRule="exact"/>
              <w:ind w:left="421"/>
              <w:rPr>
                <w:sz w:val="24"/>
              </w:rPr>
            </w:pPr>
            <w:r>
              <w:rPr>
                <w:sz w:val="24"/>
              </w:rPr>
              <w:t>Web based service for protein structure and function</w:t>
            </w:r>
          </w:p>
          <w:p>
            <w:pPr>
              <w:pStyle w:val="TableParagraph"/>
              <w:spacing w:line="261" w:lineRule="exact"/>
              <w:ind w:left="421"/>
              <w:rPr>
                <w:sz w:val="24"/>
              </w:rPr>
            </w:pPr>
            <w:r>
              <w:rPr>
                <w:sz w:val="24"/>
              </w:rPr>
              <w:t>prediction.</w:t>
            </w:r>
          </w:p>
        </w:tc>
      </w:tr>
      <w:tr>
        <w:trPr>
          <w:trHeight w:val="551" w:hRule="atLeast"/>
        </w:trPr>
        <w:tc>
          <w:tcPr>
            <w:tcW w:w="1898" w:type="dxa"/>
          </w:tcPr>
          <w:p>
            <w:pPr>
              <w:pStyle w:val="TableParagraph"/>
              <w:spacing w:line="271" w:lineRule="exact"/>
              <w:ind w:left="116"/>
              <w:rPr>
                <w:sz w:val="24"/>
              </w:rPr>
            </w:pPr>
            <w:r>
              <w:rPr>
                <w:sz w:val="24"/>
              </w:rPr>
              <w:t>Modeller</w:t>
            </w:r>
          </w:p>
        </w:tc>
        <w:tc>
          <w:tcPr>
            <w:tcW w:w="6633" w:type="dxa"/>
          </w:tcPr>
          <w:p>
            <w:pPr>
              <w:pStyle w:val="TableParagraph"/>
              <w:spacing w:line="271" w:lineRule="exact"/>
              <w:ind w:left="421"/>
              <w:rPr>
                <w:sz w:val="24"/>
              </w:rPr>
            </w:pPr>
            <w:r>
              <w:rPr>
                <w:sz w:val="24"/>
              </w:rPr>
              <w:t>Free and one of the most popular software for homology</w:t>
            </w:r>
          </w:p>
          <w:p>
            <w:pPr>
              <w:pStyle w:val="TableParagraph"/>
              <w:spacing w:line="261" w:lineRule="exact"/>
              <w:ind w:left="421"/>
              <w:rPr>
                <w:sz w:val="24"/>
              </w:rPr>
            </w:pPr>
            <w:r>
              <w:rPr>
                <w:sz w:val="24"/>
              </w:rPr>
              <w:t>modeling of the target protein.</w:t>
            </w:r>
          </w:p>
        </w:tc>
      </w:tr>
      <w:tr>
        <w:trPr>
          <w:trHeight w:val="276" w:hRule="atLeast"/>
        </w:trPr>
        <w:tc>
          <w:tcPr>
            <w:tcW w:w="1898" w:type="dxa"/>
          </w:tcPr>
          <w:p>
            <w:pPr>
              <w:pStyle w:val="TableParagraph"/>
              <w:spacing w:line="256" w:lineRule="exact"/>
              <w:ind w:left="116"/>
              <w:rPr>
                <w:sz w:val="24"/>
              </w:rPr>
            </w:pPr>
            <w:r>
              <w:rPr>
                <w:sz w:val="24"/>
              </w:rPr>
              <w:t>ProSide</w:t>
            </w:r>
          </w:p>
        </w:tc>
        <w:tc>
          <w:tcPr>
            <w:tcW w:w="6633" w:type="dxa"/>
          </w:tcPr>
          <w:p>
            <w:pPr>
              <w:pStyle w:val="TableParagraph"/>
              <w:spacing w:line="256" w:lineRule="exact"/>
              <w:ind w:left="421"/>
              <w:rPr>
                <w:sz w:val="24"/>
              </w:rPr>
            </w:pPr>
            <w:r>
              <w:rPr>
                <w:sz w:val="24"/>
              </w:rPr>
              <w:t>It predicts the side chain conformation.</w:t>
            </w:r>
          </w:p>
        </w:tc>
      </w:tr>
      <w:tr>
        <w:trPr>
          <w:trHeight w:val="278" w:hRule="atLeast"/>
        </w:trPr>
        <w:tc>
          <w:tcPr>
            <w:tcW w:w="1898" w:type="dxa"/>
            <w:tcBorders>
              <w:bottom w:val="single" w:sz="4" w:space="0" w:color="000000"/>
            </w:tcBorders>
          </w:tcPr>
          <w:p>
            <w:pPr>
              <w:pStyle w:val="TableParagraph"/>
              <w:spacing w:line="259" w:lineRule="exact"/>
              <w:ind w:left="116"/>
              <w:rPr>
                <w:sz w:val="24"/>
              </w:rPr>
            </w:pPr>
            <w:r>
              <w:rPr>
                <w:sz w:val="24"/>
              </w:rPr>
              <w:t>Prime</w:t>
            </w:r>
          </w:p>
        </w:tc>
        <w:tc>
          <w:tcPr>
            <w:tcW w:w="6633" w:type="dxa"/>
            <w:tcBorders>
              <w:bottom w:val="single" w:sz="4" w:space="0" w:color="000000"/>
            </w:tcBorders>
          </w:tcPr>
          <w:p>
            <w:pPr>
              <w:pStyle w:val="TableParagraph"/>
              <w:spacing w:line="259" w:lineRule="exact"/>
              <w:ind w:left="421"/>
              <w:rPr>
                <w:sz w:val="24"/>
              </w:rPr>
            </w:pPr>
            <w:r>
              <w:rPr>
                <w:sz w:val="24"/>
              </w:rPr>
              <w:t>It is a fully integrated protein structure prediction software.</w:t>
            </w:r>
          </w:p>
        </w:tc>
      </w:tr>
    </w:tbl>
    <w:p>
      <w:pPr>
        <w:spacing w:after="0" w:line="259" w:lineRule="exact"/>
        <w:rPr>
          <w:sz w:val="24"/>
        </w:rPr>
        <w:sectPr>
          <w:pgSz w:w="11910" w:h="16840"/>
          <w:pgMar w:header="722" w:footer="748" w:top="1300" w:bottom="940" w:left="1500" w:right="1480"/>
        </w:sectPr>
      </w:pPr>
    </w:p>
    <w:p>
      <w:pPr>
        <w:pStyle w:val="Heading4"/>
        <w:numPr>
          <w:ilvl w:val="0"/>
          <w:numId w:val="46"/>
        </w:numPr>
        <w:tabs>
          <w:tab w:pos="540" w:val="left" w:leader="none"/>
        </w:tabs>
        <w:spacing w:line="240" w:lineRule="auto" w:before="124" w:after="0"/>
        <w:ind w:left="540" w:right="0" w:hanging="240"/>
        <w:jc w:val="left"/>
      </w:pPr>
      <w:r>
        <w:rPr/>
        <w:t>Design of the inhibitor molecules</w:t>
      </w:r>
    </w:p>
    <w:p>
      <w:pPr>
        <w:pStyle w:val="BodyText"/>
        <w:spacing w:before="8"/>
        <w:rPr>
          <w:b/>
          <w:sz w:val="20"/>
        </w:rPr>
      </w:pPr>
    </w:p>
    <w:p>
      <w:pPr>
        <w:pStyle w:val="BodyText"/>
        <w:spacing w:line="360" w:lineRule="auto"/>
        <w:ind w:left="299" w:right="317"/>
        <w:jc w:val="both"/>
      </w:pPr>
      <w:r>
        <w:rPr>
          <w:b/>
        </w:rPr>
        <w:t>Pharmacophore modeling-</w:t>
      </w:r>
      <w:r>
        <w:rPr/>
        <w:t>This approach is more relevant when the 3-D structure or homology model of an enzyme is not known but the substrate or the ligand is known. A pharmacophore is a spatial arrangement of the functional group present on the ligand needed for the binding. To determine the pharmacophore, a series of ligand molecules are superimposed so that similar groups come together. The common functions are identified and categorized. The functional groups present in the ligand molecule are hydrogen bond acceptor, donor, aromatic ring system, hydrophobic and hydrophilic area etc (Figure 40.2). In the screening process, each molecule from the database is fitted into the pharmacophore model and the quality of agreement is assessed with a score. The program for pharmacophore modeling and screening are catalyst, galahad, MOE and Phase.</w:t>
      </w:r>
    </w:p>
    <w:p>
      <w:pPr>
        <w:pStyle w:val="BodyText"/>
        <w:spacing w:before="2"/>
        <w:rPr>
          <w:sz w:val="27"/>
        </w:rPr>
      </w:pPr>
      <w:r>
        <w:rPr/>
        <w:drawing>
          <wp:anchor distT="0" distB="0" distL="0" distR="0" allowOverlap="1" layoutInCell="1" locked="0" behindDoc="0" simplePos="0" relativeHeight="355">
            <wp:simplePos x="0" y="0"/>
            <wp:positionH relativeFrom="page">
              <wp:posOffset>1538620</wp:posOffset>
            </wp:positionH>
            <wp:positionV relativeFrom="paragraph">
              <wp:posOffset>223427</wp:posOffset>
            </wp:positionV>
            <wp:extent cx="4487754" cy="3566160"/>
            <wp:effectExtent l="0" t="0" r="0" b="0"/>
            <wp:wrapTopAndBottom/>
            <wp:docPr id="407" name="image208.jpeg" descr="G:\NPTEL\Bioanalytical Techniques and Bioinformatics\Final Lecture\Lecture 40\Pharmacophore.jpg"/>
            <wp:cNvGraphicFramePr>
              <a:graphicFrameLocks noChangeAspect="1"/>
            </wp:cNvGraphicFramePr>
            <a:graphic>
              <a:graphicData uri="http://schemas.openxmlformats.org/drawingml/2006/picture">
                <pic:pic>
                  <pic:nvPicPr>
                    <pic:cNvPr id="408" name="image208.jpeg"/>
                    <pic:cNvPicPr/>
                  </pic:nvPicPr>
                  <pic:blipFill>
                    <a:blip r:embed="rId234" cstate="print"/>
                    <a:stretch>
                      <a:fillRect/>
                    </a:stretch>
                  </pic:blipFill>
                  <pic:spPr>
                    <a:xfrm>
                      <a:off x="0" y="0"/>
                      <a:ext cx="4487754" cy="3566160"/>
                    </a:xfrm>
                    <a:prstGeom prst="rect">
                      <a:avLst/>
                    </a:prstGeom>
                  </pic:spPr>
                </pic:pic>
              </a:graphicData>
            </a:graphic>
          </wp:anchor>
        </w:drawing>
      </w:r>
    </w:p>
    <w:p>
      <w:pPr>
        <w:pStyle w:val="BodyText"/>
        <w:rPr>
          <w:sz w:val="33"/>
        </w:rPr>
      </w:pPr>
    </w:p>
    <w:p>
      <w:pPr>
        <w:spacing w:before="0"/>
        <w:ind w:left="600" w:right="617" w:firstLine="0"/>
        <w:jc w:val="center"/>
        <w:rPr>
          <w:b/>
          <w:sz w:val="16"/>
        </w:rPr>
      </w:pPr>
      <w:r>
        <w:rPr>
          <w:b/>
          <w:sz w:val="16"/>
        </w:rPr>
        <w:t>Figure 40.2: Pharmacophore with the different functional groups.</w:t>
      </w:r>
    </w:p>
    <w:p>
      <w:pPr>
        <w:spacing w:after="0"/>
        <w:jc w:val="center"/>
        <w:rPr>
          <w:sz w:val="16"/>
        </w:rPr>
        <w:sectPr>
          <w:pgSz w:w="11910" w:h="16840"/>
          <w:pgMar w:header="722" w:footer="748" w:top="1300" w:bottom="940" w:left="1500" w:right="1480"/>
        </w:sectPr>
      </w:pPr>
    </w:p>
    <w:p>
      <w:pPr>
        <w:pStyle w:val="ListParagraph"/>
        <w:numPr>
          <w:ilvl w:val="0"/>
          <w:numId w:val="46"/>
        </w:numPr>
        <w:tabs>
          <w:tab w:pos="543" w:val="left" w:leader="none"/>
        </w:tabs>
        <w:spacing w:line="360" w:lineRule="auto" w:before="119" w:after="0"/>
        <w:ind w:left="300" w:right="317" w:firstLine="0"/>
        <w:jc w:val="both"/>
        <w:rPr>
          <w:sz w:val="24"/>
        </w:rPr>
      </w:pPr>
      <w:r>
        <w:rPr>
          <w:b/>
          <w:sz w:val="24"/>
        </w:rPr>
        <w:t>Collection of the inhibitor molecules-</w:t>
      </w:r>
      <w:r>
        <w:rPr>
          <w:sz w:val="24"/>
        </w:rPr>
        <w:t>A list of selected database of ligand is given in Table 40.2. For most of these database, either keyword or the chemical structure can be used to search the database. The molecules from these database can be downloaded in the 2-D or 3-D</w:t>
      </w:r>
      <w:r>
        <w:rPr>
          <w:spacing w:val="-5"/>
          <w:sz w:val="24"/>
        </w:rPr>
        <w:t> </w:t>
      </w:r>
      <w:r>
        <w:rPr>
          <w:sz w:val="24"/>
        </w:rPr>
        <w:t>conformation.</w:t>
      </w:r>
    </w:p>
    <w:p>
      <w:pPr>
        <w:pStyle w:val="BodyText"/>
        <w:spacing w:before="10"/>
        <w:rPr>
          <w:sz w:val="17"/>
        </w:rPr>
      </w:pPr>
    </w:p>
    <w:tbl>
      <w:tblPr>
        <w:tblW w:w="0" w:type="auto"/>
        <w:jc w:val="left"/>
        <w:tblInd w:w="1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732"/>
        <w:gridCol w:w="5799"/>
      </w:tblGrid>
      <w:tr>
        <w:trPr>
          <w:trHeight w:val="184" w:hRule="atLeast"/>
        </w:trPr>
        <w:tc>
          <w:tcPr>
            <w:tcW w:w="8531" w:type="dxa"/>
            <w:gridSpan w:val="2"/>
            <w:tcBorders>
              <w:top w:val="single" w:sz="4" w:space="0" w:color="000000"/>
              <w:bottom w:val="single" w:sz="4" w:space="0" w:color="000000"/>
            </w:tcBorders>
          </w:tcPr>
          <w:p>
            <w:pPr>
              <w:pStyle w:val="TableParagraph"/>
              <w:spacing w:line="164" w:lineRule="exact"/>
              <w:ind w:left="1385" w:right="1377"/>
              <w:jc w:val="center"/>
              <w:rPr>
                <w:b/>
                <w:sz w:val="16"/>
              </w:rPr>
            </w:pPr>
            <w:r>
              <w:rPr>
                <w:b/>
                <w:sz w:val="16"/>
              </w:rPr>
              <w:t>Table 40.2: List of selected databases for ligand.</w:t>
            </w:r>
          </w:p>
        </w:tc>
      </w:tr>
      <w:tr>
        <w:trPr>
          <w:trHeight w:val="275" w:hRule="atLeast"/>
        </w:trPr>
        <w:tc>
          <w:tcPr>
            <w:tcW w:w="2732" w:type="dxa"/>
            <w:tcBorders>
              <w:top w:val="single" w:sz="4" w:space="0" w:color="000000"/>
              <w:bottom w:val="single" w:sz="4" w:space="0" w:color="000000"/>
            </w:tcBorders>
          </w:tcPr>
          <w:p>
            <w:pPr>
              <w:pStyle w:val="TableParagraph"/>
              <w:spacing w:line="256" w:lineRule="exact"/>
              <w:ind w:left="116"/>
              <w:rPr>
                <w:b/>
                <w:sz w:val="24"/>
              </w:rPr>
            </w:pPr>
            <w:r>
              <w:rPr>
                <w:b/>
                <w:sz w:val="24"/>
              </w:rPr>
              <w:t>Database</w:t>
            </w:r>
          </w:p>
        </w:tc>
        <w:tc>
          <w:tcPr>
            <w:tcW w:w="5799" w:type="dxa"/>
            <w:tcBorders>
              <w:top w:val="single" w:sz="4" w:space="0" w:color="000000"/>
              <w:bottom w:val="single" w:sz="4" w:space="0" w:color="000000"/>
            </w:tcBorders>
          </w:tcPr>
          <w:p>
            <w:pPr>
              <w:pStyle w:val="TableParagraph"/>
              <w:spacing w:line="256" w:lineRule="exact"/>
              <w:ind w:left="108"/>
              <w:rPr>
                <w:b/>
                <w:sz w:val="24"/>
              </w:rPr>
            </w:pPr>
            <w:r>
              <w:rPr>
                <w:b/>
                <w:sz w:val="24"/>
              </w:rPr>
              <w:t>The type of the ligand collection</w:t>
            </w:r>
          </w:p>
        </w:tc>
      </w:tr>
      <w:tr>
        <w:trPr>
          <w:trHeight w:val="272" w:hRule="atLeast"/>
        </w:trPr>
        <w:tc>
          <w:tcPr>
            <w:tcW w:w="2732" w:type="dxa"/>
            <w:tcBorders>
              <w:top w:val="single" w:sz="4" w:space="0" w:color="000000"/>
            </w:tcBorders>
          </w:tcPr>
          <w:p>
            <w:pPr>
              <w:pStyle w:val="TableParagraph"/>
              <w:spacing w:line="253" w:lineRule="exact"/>
              <w:ind w:left="116"/>
              <w:rPr>
                <w:sz w:val="24"/>
              </w:rPr>
            </w:pPr>
            <w:r>
              <w:rPr>
                <w:sz w:val="24"/>
              </w:rPr>
              <w:t>Zinc Database</w:t>
            </w:r>
          </w:p>
        </w:tc>
        <w:tc>
          <w:tcPr>
            <w:tcW w:w="5799" w:type="dxa"/>
            <w:tcBorders>
              <w:top w:val="single" w:sz="4" w:space="0" w:color="000000"/>
            </w:tcBorders>
          </w:tcPr>
          <w:p>
            <w:pPr>
              <w:pStyle w:val="TableParagraph"/>
              <w:spacing w:line="253" w:lineRule="exact"/>
              <w:ind w:left="108"/>
              <w:rPr>
                <w:sz w:val="24"/>
              </w:rPr>
            </w:pPr>
            <w:r>
              <w:rPr>
                <w:sz w:val="24"/>
              </w:rPr>
              <w:t>Collection of commercially available small molecules.</w:t>
            </w:r>
          </w:p>
        </w:tc>
      </w:tr>
      <w:tr>
        <w:trPr>
          <w:trHeight w:val="275" w:hRule="atLeast"/>
        </w:trPr>
        <w:tc>
          <w:tcPr>
            <w:tcW w:w="2732" w:type="dxa"/>
          </w:tcPr>
          <w:p>
            <w:pPr>
              <w:pStyle w:val="TableParagraph"/>
              <w:spacing w:line="256" w:lineRule="exact"/>
              <w:ind w:left="116"/>
              <w:rPr>
                <w:sz w:val="24"/>
              </w:rPr>
            </w:pPr>
            <w:r>
              <w:rPr>
                <w:sz w:val="24"/>
              </w:rPr>
              <w:t>ChEMBL</w:t>
            </w:r>
          </w:p>
        </w:tc>
        <w:tc>
          <w:tcPr>
            <w:tcW w:w="5799" w:type="dxa"/>
          </w:tcPr>
          <w:p>
            <w:pPr>
              <w:pStyle w:val="TableParagraph"/>
              <w:spacing w:line="256" w:lineRule="exact"/>
              <w:ind w:left="108"/>
              <w:rPr>
                <w:sz w:val="24"/>
              </w:rPr>
            </w:pPr>
            <w:r>
              <w:rPr>
                <w:sz w:val="24"/>
              </w:rPr>
              <w:t>Database of small molecules.</w:t>
            </w:r>
          </w:p>
        </w:tc>
      </w:tr>
      <w:tr>
        <w:trPr>
          <w:trHeight w:val="276" w:hRule="atLeast"/>
        </w:trPr>
        <w:tc>
          <w:tcPr>
            <w:tcW w:w="2732" w:type="dxa"/>
          </w:tcPr>
          <w:p>
            <w:pPr>
              <w:pStyle w:val="TableParagraph"/>
              <w:spacing w:line="256" w:lineRule="exact"/>
              <w:ind w:left="116"/>
              <w:rPr>
                <w:sz w:val="24"/>
              </w:rPr>
            </w:pPr>
            <w:r>
              <w:rPr>
                <w:sz w:val="24"/>
              </w:rPr>
              <w:t>Chemspider</w:t>
            </w:r>
          </w:p>
        </w:tc>
        <w:tc>
          <w:tcPr>
            <w:tcW w:w="5799" w:type="dxa"/>
          </w:tcPr>
          <w:p>
            <w:pPr>
              <w:pStyle w:val="TableParagraph"/>
              <w:spacing w:line="256" w:lineRule="exact"/>
              <w:ind w:left="108"/>
              <w:rPr>
                <w:sz w:val="24"/>
              </w:rPr>
            </w:pPr>
            <w:r>
              <w:rPr>
                <w:sz w:val="24"/>
              </w:rPr>
              <w:t>Collection of small organic molecules</w:t>
            </w:r>
          </w:p>
        </w:tc>
      </w:tr>
      <w:tr>
        <w:trPr>
          <w:trHeight w:val="276" w:hRule="atLeast"/>
        </w:trPr>
        <w:tc>
          <w:tcPr>
            <w:tcW w:w="2732" w:type="dxa"/>
          </w:tcPr>
          <w:p>
            <w:pPr>
              <w:pStyle w:val="TableParagraph"/>
              <w:spacing w:line="256" w:lineRule="exact"/>
              <w:ind w:left="116"/>
              <w:rPr>
                <w:sz w:val="24"/>
              </w:rPr>
            </w:pPr>
            <w:r>
              <w:rPr>
                <w:sz w:val="24"/>
              </w:rPr>
              <w:t>Drug Bank</w:t>
            </w:r>
          </w:p>
        </w:tc>
        <w:tc>
          <w:tcPr>
            <w:tcW w:w="5799" w:type="dxa"/>
          </w:tcPr>
          <w:p>
            <w:pPr>
              <w:pStyle w:val="TableParagraph"/>
              <w:spacing w:line="256" w:lineRule="exact"/>
              <w:ind w:left="108"/>
              <w:rPr>
                <w:sz w:val="24"/>
              </w:rPr>
            </w:pPr>
            <w:r>
              <w:rPr>
                <w:sz w:val="24"/>
              </w:rPr>
              <w:t>A searchable collection of Drug Molecules.</w:t>
            </w:r>
          </w:p>
        </w:tc>
      </w:tr>
      <w:tr>
        <w:trPr>
          <w:trHeight w:val="275" w:hRule="atLeast"/>
        </w:trPr>
        <w:tc>
          <w:tcPr>
            <w:tcW w:w="2732" w:type="dxa"/>
          </w:tcPr>
          <w:p>
            <w:pPr>
              <w:pStyle w:val="TableParagraph"/>
              <w:spacing w:line="256" w:lineRule="exact"/>
              <w:ind w:left="116"/>
              <w:rPr>
                <w:sz w:val="24"/>
              </w:rPr>
            </w:pPr>
            <w:r>
              <w:rPr>
                <w:sz w:val="24"/>
              </w:rPr>
              <w:t>PubChem</w:t>
            </w:r>
          </w:p>
        </w:tc>
        <w:tc>
          <w:tcPr>
            <w:tcW w:w="5799" w:type="dxa"/>
          </w:tcPr>
          <w:p>
            <w:pPr>
              <w:pStyle w:val="TableParagraph"/>
              <w:spacing w:line="256" w:lineRule="exact"/>
              <w:ind w:left="108"/>
              <w:rPr>
                <w:sz w:val="24"/>
              </w:rPr>
            </w:pPr>
            <w:r>
              <w:rPr>
                <w:sz w:val="24"/>
              </w:rPr>
              <w:t>Database of small molecules.</w:t>
            </w:r>
          </w:p>
        </w:tc>
      </w:tr>
      <w:tr>
        <w:trPr>
          <w:trHeight w:val="551" w:hRule="atLeast"/>
        </w:trPr>
        <w:tc>
          <w:tcPr>
            <w:tcW w:w="2732" w:type="dxa"/>
          </w:tcPr>
          <w:p>
            <w:pPr>
              <w:pStyle w:val="TableParagraph"/>
              <w:tabs>
                <w:tab w:pos="1743" w:val="left" w:leader="none"/>
              </w:tabs>
              <w:spacing w:line="271" w:lineRule="exact"/>
              <w:ind w:left="116"/>
              <w:rPr>
                <w:sz w:val="24"/>
              </w:rPr>
            </w:pPr>
            <w:r>
              <w:rPr>
                <w:sz w:val="24"/>
              </w:rPr>
              <w:t>Structural</w:t>
              <w:tab/>
              <w:t>Database</w:t>
            </w:r>
          </w:p>
          <w:p>
            <w:pPr>
              <w:pStyle w:val="TableParagraph"/>
              <w:spacing w:line="261" w:lineRule="exact"/>
              <w:ind w:left="116"/>
              <w:rPr>
                <w:sz w:val="24"/>
              </w:rPr>
            </w:pPr>
            <w:r>
              <w:rPr>
                <w:sz w:val="24"/>
              </w:rPr>
              <w:t>(CSD)</w:t>
            </w:r>
          </w:p>
        </w:tc>
        <w:tc>
          <w:tcPr>
            <w:tcW w:w="5799" w:type="dxa"/>
          </w:tcPr>
          <w:p>
            <w:pPr>
              <w:pStyle w:val="TableParagraph"/>
              <w:spacing w:line="271" w:lineRule="exact"/>
              <w:ind w:left="108"/>
              <w:rPr>
                <w:sz w:val="24"/>
              </w:rPr>
            </w:pPr>
            <w:r>
              <w:rPr>
                <w:sz w:val="24"/>
              </w:rPr>
              <w:t>Database of 3-D structure of small molecule determined</w:t>
            </w:r>
          </w:p>
          <w:p>
            <w:pPr>
              <w:pStyle w:val="TableParagraph"/>
              <w:spacing w:line="261" w:lineRule="exact"/>
              <w:ind w:left="108"/>
              <w:rPr>
                <w:sz w:val="24"/>
              </w:rPr>
            </w:pPr>
            <w:r>
              <w:rPr>
                <w:sz w:val="24"/>
              </w:rPr>
              <w:t>by x-ray crystallography.</w:t>
            </w:r>
          </w:p>
        </w:tc>
      </w:tr>
      <w:tr>
        <w:trPr>
          <w:trHeight w:val="276" w:hRule="atLeast"/>
        </w:trPr>
        <w:tc>
          <w:tcPr>
            <w:tcW w:w="2732" w:type="dxa"/>
          </w:tcPr>
          <w:p>
            <w:pPr>
              <w:pStyle w:val="TableParagraph"/>
              <w:spacing w:line="256" w:lineRule="exact"/>
              <w:ind w:left="116"/>
              <w:rPr>
                <w:sz w:val="24"/>
              </w:rPr>
            </w:pPr>
            <w:r>
              <w:rPr>
                <w:sz w:val="24"/>
              </w:rPr>
              <w:t>GPCR Ligand Library</w:t>
            </w:r>
          </w:p>
        </w:tc>
        <w:tc>
          <w:tcPr>
            <w:tcW w:w="5799" w:type="dxa"/>
          </w:tcPr>
          <w:p>
            <w:pPr>
              <w:pStyle w:val="TableParagraph"/>
              <w:spacing w:line="256" w:lineRule="exact"/>
              <w:ind w:left="108"/>
              <w:rPr>
                <w:sz w:val="24"/>
              </w:rPr>
            </w:pPr>
            <w:r>
              <w:rPr>
                <w:sz w:val="24"/>
              </w:rPr>
              <w:t>Ligands of GPCR</w:t>
            </w:r>
          </w:p>
        </w:tc>
      </w:tr>
      <w:tr>
        <w:trPr>
          <w:trHeight w:val="552" w:hRule="atLeast"/>
        </w:trPr>
        <w:tc>
          <w:tcPr>
            <w:tcW w:w="2732" w:type="dxa"/>
          </w:tcPr>
          <w:p>
            <w:pPr>
              <w:pStyle w:val="TableParagraph"/>
              <w:tabs>
                <w:tab w:pos="1421" w:val="left" w:leader="none"/>
                <w:tab w:pos="1901" w:val="left" w:leader="none"/>
              </w:tabs>
              <w:spacing w:line="271" w:lineRule="exact"/>
              <w:ind w:left="116"/>
              <w:rPr>
                <w:sz w:val="24"/>
              </w:rPr>
            </w:pPr>
            <w:r>
              <w:rPr>
                <w:sz w:val="24"/>
              </w:rPr>
              <w:t>Dictionary</w:t>
              <w:tab/>
              <w:t>of</w:t>
              <w:tab/>
              <w:t>Natural</w:t>
            </w:r>
          </w:p>
          <w:p>
            <w:pPr>
              <w:pStyle w:val="TableParagraph"/>
              <w:spacing w:line="261" w:lineRule="exact"/>
              <w:ind w:left="116"/>
              <w:rPr>
                <w:sz w:val="24"/>
              </w:rPr>
            </w:pPr>
            <w:r>
              <w:rPr>
                <w:sz w:val="24"/>
              </w:rPr>
              <w:t>Products</w:t>
            </w:r>
          </w:p>
        </w:tc>
        <w:tc>
          <w:tcPr>
            <w:tcW w:w="5799" w:type="dxa"/>
          </w:tcPr>
          <w:p>
            <w:pPr>
              <w:pStyle w:val="TableParagraph"/>
              <w:spacing w:line="271" w:lineRule="exact"/>
              <w:ind w:left="108"/>
              <w:rPr>
                <w:sz w:val="24"/>
              </w:rPr>
            </w:pPr>
            <w:r>
              <w:rPr>
                <w:sz w:val="24"/>
              </w:rPr>
              <w:t>Database of Natural Products</w:t>
            </w:r>
          </w:p>
        </w:tc>
      </w:tr>
      <w:tr>
        <w:trPr>
          <w:trHeight w:val="275" w:hRule="atLeast"/>
        </w:trPr>
        <w:tc>
          <w:tcPr>
            <w:tcW w:w="2732" w:type="dxa"/>
          </w:tcPr>
          <w:p>
            <w:pPr>
              <w:pStyle w:val="TableParagraph"/>
              <w:spacing w:line="256" w:lineRule="exact"/>
              <w:ind w:left="116"/>
              <w:rPr>
                <w:sz w:val="24"/>
              </w:rPr>
            </w:pPr>
            <w:r>
              <w:rPr>
                <w:sz w:val="24"/>
              </w:rPr>
              <w:t>ChemBank</w:t>
            </w:r>
          </w:p>
        </w:tc>
        <w:tc>
          <w:tcPr>
            <w:tcW w:w="5799" w:type="dxa"/>
          </w:tcPr>
          <w:p>
            <w:pPr>
              <w:pStyle w:val="TableParagraph"/>
              <w:spacing w:line="256" w:lineRule="exact"/>
              <w:ind w:left="108"/>
              <w:rPr>
                <w:sz w:val="24"/>
              </w:rPr>
            </w:pPr>
            <w:r>
              <w:rPr>
                <w:sz w:val="24"/>
              </w:rPr>
              <w:t>Database of small molecules.</w:t>
            </w:r>
          </w:p>
        </w:tc>
      </w:tr>
      <w:tr>
        <w:trPr>
          <w:trHeight w:val="276" w:hRule="atLeast"/>
        </w:trPr>
        <w:tc>
          <w:tcPr>
            <w:tcW w:w="2732" w:type="dxa"/>
          </w:tcPr>
          <w:p>
            <w:pPr>
              <w:pStyle w:val="TableParagraph"/>
              <w:spacing w:line="256" w:lineRule="exact"/>
              <w:ind w:left="116"/>
              <w:rPr>
                <w:sz w:val="24"/>
              </w:rPr>
            </w:pPr>
            <w:r>
              <w:rPr>
                <w:sz w:val="24"/>
              </w:rPr>
              <w:t>ChEBL</w:t>
            </w:r>
          </w:p>
        </w:tc>
        <w:tc>
          <w:tcPr>
            <w:tcW w:w="5799" w:type="dxa"/>
          </w:tcPr>
          <w:p>
            <w:pPr>
              <w:pStyle w:val="TableParagraph"/>
              <w:spacing w:line="256" w:lineRule="exact"/>
              <w:ind w:left="108"/>
              <w:rPr>
                <w:sz w:val="24"/>
              </w:rPr>
            </w:pPr>
            <w:r>
              <w:rPr>
                <w:sz w:val="24"/>
              </w:rPr>
              <w:t>Database of small molecules.</w:t>
            </w:r>
          </w:p>
        </w:tc>
      </w:tr>
      <w:tr>
        <w:trPr>
          <w:trHeight w:val="278" w:hRule="atLeast"/>
        </w:trPr>
        <w:tc>
          <w:tcPr>
            <w:tcW w:w="2732" w:type="dxa"/>
            <w:tcBorders>
              <w:bottom w:val="single" w:sz="4" w:space="0" w:color="000000"/>
            </w:tcBorders>
          </w:tcPr>
          <w:p>
            <w:pPr>
              <w:pStyle w:val="TableParagraph"/>
              <w:spacing w:line="259" w:lineRule="exact"/>
              <w:ind w:left="116"/>
              <w:rPr>
                <w:sz w:val="24"/>
              </w:rPr>
            </w:pPr>
            <w:r>
              <w:rPr>
                <w:sz w:val="24"/>
              </w:rPr>
              <w:t>KEGG DRUG</w:t>
            </w:r>
          </w:p>
        </w:tc>
        <w:tc>
          <w:tcPr>
            <w:tcW w:w="5799" w:type="dxa"/>
            <w:tcBorders>
              <w:bottom w:val="single" w:sz="4" w:space="0" w:color="000000"/>
            </w:tcBorders>
          </w:tcPr>
          <w:p>
            <w:pPr>
              <w:pStyle w:val="TableParagraph"/>
              <w:spacing w:line="259" w:lineRule="exact"/>
              <w:ind w:left="108"/>
              <w:rPr>
                <w:sz w:val="24"/>
              </w:rPr>
            </w:pPr>
            <w:r>
              <w:rPr>
                <w:sz w:val="24"/>
              </w:rPr>
              <w:t>Drug Database</w:t>
            </w:r>
          </w:p>
        </w:tc>
      </w:tr>
    </w:tbl>
    <w:p>
      <w:pPr>
        <w:pStyle w:val="BodyText"/>
        <w:rPr>
          <w:sz w:val="26"/>
        </w:rPr>
      </w:pPr>
    </w:p>
    <w:p>
      <w:pPr>
        <w:pStyle w:val="Heading4"/>
        <w:numPr>
          <w:ilvl w:val="0"/>
          <w:numId w:val="46"/>
        </w:numPr>
        <w:tabs>
          <w:tab w:pos="540" w:val="left" w:leader="none"/>
        </w:tabs>
        <w:spacing w:line="276" w:lineRule="auto" w:before="218" w:after="0"/>
        <w:ind w:left="300" w:right="655" w:firstLine="0"/>
        <w:jc w:val="both"/>
      </w:pPr>
      <w:r>
        <w:rPr/>
        <w:t>Docking-A list of molecular modeling and docking software are given in the Table</w:t>
      </w:r>
      <w:r>
        <w:rPr>
          <w:spacing w:val="-1"/>
        </w:rPr>
        <w:t> </w:t>
      </w:r>
      <w:r>
        <w:rPr/>
        <w:t>40.3.</w:t>
      </w:r>
    </w:p>
    <w:p>
      <w:pPr>
        <w:pStyle w:val="BodyText"/>
        <w:spacing w:line="360" w:lineRule="auto" w:before="196"/>
        <w:ind w:left="300" w:right="316"/>
        <w:jc w:val="both"/>
      </w:pPr>
      <w:r>
        <w:rPr>
          <w:b/>
        </w:rPr>
        <w:t>Different steps in docking protocol: </w:t>
      </w:r>
      <w:r>
        <w:rPr/>
        <w:t>We will take the example of Autodock to understand different steps of docking. Autodock 4.1 is one of the most popular docking softwares. It has following steps to perform docking of a small molecules-</w:t>
      </w:r>
    </w:p>
    <w:p>
      <w:pPr>
        <w:spacing w:line="360" w:lineRule="auto" w:before="200"/>
        <w:ind w:left="300" w:right="317" w:firstLine="0"/>
        <w:jc w:val="both"/>
        <w:rPr>
          <w:sz w:val="24"/>
        </w:rPr>
      </w:pPr>
      <w:r>
        <w:rPr>
          <w:b/>
          <w:sz w:val="24"/>
        </w:rPr>
        <w:t>Step 1 and 2: Preparation of Macromolecule and Ligand for AutoDock-</w:t>
      </w:r>
      <w:r>
        <w:rPr>
          <w:sz w:val="24"/>
        </w:rPr>
        <w:t>Step 1 and 2 are required to give the target and inhibitor molecule suitable environment for optimal docking. This step also allows to define the number of bonds can be made rotable for ligand to adopt suitable conformation for fitting within the binding</w:t>
      </w:r>
      <w:r>
        <w:rPr>
          <w:spacing w:val="-20"/>
          <w:sz w:val="24"/>
        </w:rPr>
        <w:t> </w:t>
      </w:r>
      <w:r>
        <w:rPr>
          <w:sz w:val="24"/>
        </w:rPr>
        <w:t>pocket.</w:t>
      </w:r>
    </w:p>
    <w:p>
      <w:pPr>
        <w:spacing w:line="360" w:lineRule="auto" w:before="200"/>
        <w:ind w:left="300" w:right="317" w:firstLine="0"/>
        <w:jc w:val="both"/>
        <w:rPr>
          <w:sz w:val="24"/>
        </w:rPr>
      </w:pPr>
      <w:r>
        <w:rPr>
          <w:b/>
          <w:sz w:val="24"/>
        </w:rPr>
        <w:t>Step 3: Preparation of Grid Parameter file-</w:t>
      </w:r>
      <w:r>
        <w:rPr>
          <w:sz w:val="24"/>
        </w:rPr>
        <w:t>This step allow to select the active site through drawing a grid of suitable size to define the space where a ligand molecule will be docked.</w:t>
      </w:r>
    </w:p>
    <w:p>
      <w:pPr>
        <w:spacing w:line="360" w:lineRule="auto" w:before="200"/>
        <w:ind w:left="300" w:right="313" w:firstLine="0"/>
        <w:jc w:val="both"/>
        <w:rPr>
          <w:sz w:val="24"/>
        </w:rPr>
      </w:pPr>
      <w:r>
        <w:rPr>
          <w:b/>
          <w:sz w:val="24"/>
        </w:rPr>
        <w:t>Step 4: Preparing the docking parameter files- </w:t>
      </w:r>
      <w:r>
        <w:rPr>
          <w:sz w:val="24"/>
        </w:rPr>
        <w:t>This step allow to define the energy parameters and other docking parameters.</w:t>
      </w:r>
    </w:p>
    <w:p>
      <w:pPr>
        <w:pStyle w:val="Heading4"/>
        <w:spacing w:before="204"/>
      </w:pPr>
      <w:r>
        <w:rPr/>
        <w:t>Step 5: Running of the docking</w:t>
      </w:r>
    </w:p>
    <w:p>
      <w:pPr>
        <w:spacing w:after="0"/>
        <w:sectPr>
          <w:pgSz w:w="11910" w:h="16840"/>
          <w:pgMar w:header="722" w:footer="748" w:top="1300" w:bottom="940" w:left="1500" w:right="1480"/>
        </w:sectPr>
      </w:pPr>
    </w:p>
    <w:p>
      <w:pPr>
        <w:spacing w:line="360" w:lineRule="auto" w:before="119"/>
        <w:ind w:left="299" w:right="318" w:firstLine="0"/>
        <w:jc w:val="both"/>
        <w:rPr>
          <w:sz w:val="24"/>
        </w:rPr>
      </w:pPr>
      <w:r>
        <w:rPr>
          <w:b/>
          <w:sz w:val="24"/>
        </w:rPr>
        <w:t>Step 6: Analysis of Docking results-</w:t>
      </w:r>
      <w:r>
        <w:rPr>
          <w:sz w:val="24"/>
        </w:rPr>
        <w:t>Once the docking is over, apart from the free energy parameters, docked conformation of the ligand can be analyzed to understand the result.</w:t>
      </w:r>
    </w:p>
    <w:p>
      <w:pPr>
        <w:pStyle w:val="BodyText"/>
        <w:spacing w:before="11"/>
        <w:rPr>
          <w:sz w:val="17"/>
        </w:rPr>
      </w:pPr>
    </w:p>
    <w:tbl>
      <w:tblPr>
        <w:tblW w:w="0" w:type="auto"/>
        <w:jc w:val="left"/>
        <w:tblInd w:w="1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204"/>
        <w:gridCol w:w="6327"/>
      </w:tblGrid>
      <w:tr>
        <w:trPr>
          <w:trHeight w:val="184" w:hRule="atLeast"/>
        </w:trPr>
        <w:tc>
          <w:tcPr>
            <w:tcW w:w="8531" w:type="dxa"/>
            <w:gridSpan w:val="2"/>
            <w:tcBorders>
              <w:top w:val="single" w:sz="4" w:space="0" w:color="000000"/>
              <w:bottom w:val="single" w:sz="4" w:space="0" w:color="000000"/>
            </w:tcBorders>
          </w:tcPr>
          <w:p>
            <w:pPr>
              <w:pStyle w:val="TableParagraph"/>
              <w:spacing w:line="164" w:lineRule="exact"/>
              <w:ind w:left="1385" w:right="1377"/>
              <w:jc w:val="center"/>
              <w:rPr>
                <w:b/>
                <w:sz w:val="16"/>
              </w:rPr>
            </w:pPr>
            <w:r>
              <w:rPr>
                <w:b/>
                <w:sz w:val="16"/>
              </w:rPr>
              <w:t>Table 40.3 : Selected List of different softwares for docking and molecular modeling</w:t>
            </w:r>
          </w:p>
        </w:tc>
      </w:tr>
      <w:tr>
        <w:trPr>
          <w:trHeight w:val="275" w:hRule="atLeast"/>
        </w:trPr>
        <w:tc>
          <w:tcPr>
            <w:tcW w:w="2204" w:type="dxa"/>
            <w:tcBorders>
              <w:top w:val="single" w:sz="4" w:space="0" w:color="000000"/>
              <w:bottom w:val="single" w:sz="4" w:space="0" w:color="000000"/>
            </w:tcBorders>
          </w:tcPr>
          <w:p>
            <w:pPr>
              <w:pStyle w:val="TableParagraph"/>
              <w:spacing w:line="256" w:lineRule="exact"/>
              <w:ind w:left="116"/>
              <w:rPr>
                <w:b/>
                <w:sz w:val="24"/>
              </w:rPr>
            </w:pPr>
            <w:r>
              <w:rPr>
                <w:b/>
                <w:sz w:val="24"/>
              </w:rPr>
              <w:t>Software</w:t>
            </w:r>
          </w:p>
        </w:tc>
        <w:tc>
          <w:tcPr>
            <w:tcW w:w="6327" w:type="dxa"/>
            <w:tcBorders>
              <w:top w:val="single" w:sz="4" w:space="0" w:color="000000"/>
              <w:bottom w:val="single" w:sz="4" w:space="0" w:color="000000"/>
            </w:tcBorders>
          </w:tcPr>
          <w:p>
            <w:pPr>
              <w:pStyle w:val="TableParagraph"/>
              <w:spacing w:line="256" w:lineRule="exact"/>
              <w:ind w:left="108"/>
              <w:rPr>
                <w:b/>
                <w:sz w:val="24"/>
              </w:rPr>
            </w:pPr>
            <w:r>
              <w:rPr>
                <w:b/>
                <w:sz w:val="24"/>
              </w:rPr>
              <w:t>The utility of the software</w:t>
            </w:r>
          </w:p>
        </w:tc>
      </w:tr>
      <w:tr>
        <w:trPr>
          <w:trHeight w:val="548" w:hRule="atLeast"/>
        </w:trPr>
        <w:tc>
          <w:tcPr>
            <w:tcW w:w="2204" w:type="dxa"/>
            <w:tcBorders>
              <w:top w:val="single" w:sz="4" w:space="0" w:color="000000"/>
            </w:tcBorders>
          </w:tcPr>
          <w:p>
            <w:pPr>
              <w:pStyle w:val="TableParagraph"/>
              <w:spacing w:line="268" w:lineRule="exact"/>
              <w:ind w:left="116"/>
              <w:rPr>
                <w:sz w:val="24"/>
              </w:rPr>
            </w:pPr>
            <w:r>
              <w:rPr>
                <w:sz w:val="24"/>
              </w:rPr>
              <w:t>AutoDock</w:t>
            </w:r>
          </w:p>
        </w:tc>
        <w:tc>
          <w:tcPr>
            <w:tcW w:w="6327" w:type="dxa"/>
            <w:tcBorders>
              <w:top w:val="single" w:sz="4" w:space="0" w:color="000000"/>
            </w:tcBorders>
          </w:tcPr>
          <w:p>
            <w:pPr>
              <w:pStyle w:val="TableParagraph"/>
              <w:spacing w:line="268" w:lineRule="exact"/>
              <w:ind w:left="108"/>
              <w:rPr>
                <w:sz w:val="24"/>
              </w:rPr>
            </w:pPr>
            <w:r>
              <w:rPr>
                <w:sz w:val="24"/>
              </w:rPr>
              <w:t>This is a automated docking tools. Autodock is most suitaed</w:t>
            </w:r>
          </w:p>
          <w:p>
            <w:pPr>
              <w:pStyle w:val="TableParagraph"/>
              <w:spacing w:line="261" w:lineRule="exact"/>
              <w:ind w:left="108"/>
              <w:rPr>
                <w:sz w:val="24"/>
              </w:rPr>
            </w:pPr>
            <w:r>
              <w:rPr>
                <w:sz w:val="24"/>
              </w:rPr>
              <w:t>for docking protein and small molecule.</w:t>
            </w:r>
          </w:p>
        </w:tc>
      </w:tr>
      <w:tr>
        <w:trPr>
          <w:trHeight w:val="551" w:hRule="atLeast"/>
        </w:trPr>
        <w:tc>
          <w:tcPr>
            <w:tcW w:w="2204" w:type="dxa"/>
          </w:tcPr>
          <w:p>
            <w:pPr>
              <w:pStyle w:val="TableParagraph"/>
              <w:spacing w:line="271" w:lineRule="exact"/>
              <w:ind w:left="116"/>
              <w:rPr>
                <w:sz w:val="24"/>
              </w:rPr>
            </w:pPr>
            <w:r>
              <w:rPr>
                <w:sz w:val="24"/>
              </w:rPr>
              <w:t>DOCK</w:t>
            </w:r>
          </w:p>
        </w:tc>
        <w:tc>
          <w:tcPr>
            <w:tcW w:w="6327" w:type="dxa"/>
          </w:tcPr>
          <w:p>
            <w:pPr>
              <w:pStyle w:val="TableParagraph"/>
              <w:spacing w:line="271" w:lineRule="exact"/>
              <w:ind w:left="108"/>
              <w:rPr>
                <w:sz w:val="24"/>
              </w:rPr>
            </w:pPr>
            <w:r>
              <w:rPr>
                <w:sz w:val="24"/>
              </w:rPr>
              <w:t>This software is most suited to generate protein-protein</w:t>
            </w:r>
          </w:p>
          <w:p>
            <w:pPr>
              <w:pStyle w:val="TableParagraph"/>
              <w:spacing w:line="261" w:lineRule="exact"/>
              <w:ind w:left="108"/>
              <w:rPr>
                <w:sz w:val="24"/>
              </w:rPr>
            </w:pPr>
            <w:r>
              <w:rPr>
                <w:sz w:val="24"/>
              </w:rPr>
              <w:t>docking and protein-DNA complexes.</w:t>
            </w:r>
          </w:p>
        </w:tc>
      </w:tr>
      <w:tr>
        <w:trPr>
          <w:trHeight w:val="552" w:hRule="atLeast"/>
        </w:trPr>
        <w:tc>
          <w:tcPr>
            <w:tcW w:w="2204" w:type="dxa"/>
          </w:tcPr>
          <w:p>
            <w:pPr>
              <w:pStyle w:val="TableParagraph"/>
              <w:spacing w:line="271" w:lineRule="exact"/>
              <w:ind w:left="116"/>
              <w:rPr>
                <w:sz w:val="24"/>
              </w:rPr>
            </w:pPr>
            <w:r>
              <w:rPr>
                <w:sz w:val="24"/>
              </w:rPr>
              <w:t>DOT</w:t>
            </w:r>
          </w:p>
        </w:tc>
        <w:tc>
          <w:tcPr>
            <w:tcW w:w="6327" w:type="dxa"/>
          </w:tcPr>
          <w:p>
            <w:pPr>
              <w:pStyle w:val="TableParagraph"/>
              <w:spacing w:line="271" w:lineRule="exact"/>
              <w:ind w:left="108"/>
              <w:rPr>
                <w:sz w:val="24"/>
              </w:rPr>
            </w:pPr>
            <w:r>
              <w:rPr>
                <w:sz w:val="24"/>
              </w:rPr>
              <w:t>It can be use to dock macromolecule to any other molecule of</w:t>
            </w:r>
          </w:p>
          <w:p>
            <w:pPr>
              <w:pStyle w:val="TableParagraph"/>
              <w:spacing w:line="261" w:lineRule="exact"/>
              <w:ind w:left="108"/>
              <w:rPr>
                <w:sz w:val="24"/>
              </w:rPr>
            </w:pPr>
            <w:r>
              <w:rPr>
                <w:sz w:val="24"/>
              </w:rPr>
              <w:t>any size.</w:t>
            </w:r>
          </w:p>
        </w:tc>
      </w:tr>
      <w:tr>
        <w:trPr>
          <w:trHeight w:val="552" w:hRule="atLeast"/>
        </w:trPr>
        <w:tc>
          <w:tcPr>
            <w:tcW w:w="2204" w:type="dxa"/>
          </w:tcPr>
          <w:p>
            <w:pPr>
              <w:pStyle w:val="TableParagraph"/>
              <w:spacing w:line="271" w:lineRule="exact"/>
              <w:ind w:left="116"/>
              <w:rPr>
                <w:sz w:val="24"/>
              </w:rPr>
            </w:pPr>
            <w:r>
              <w:rPr>
                <w:sz w:val="24"/>
              </w:rPr>
              <w:t>FADE</w:t>
            </w:r>
          </w:p>
        </w:tc>
        <w:tc>
          <w:tcPr>
            <w:tcW w:w="6327" w:type="dxa"/>
          </w:tcPr>
          <w:p>
            <w:pPr>
              <w:pStyle w:val="TableParagraph"/>
              <w:spacing w:line="271" w:lineRule="exact"/>
              <w:ind w:left="108"/>
              <w:rPr>
                <w:sz w:val="24"/>
              </w:rPr>
            </w:pPr>
            <w:r>
              <w:rPr>
                <w:sz w:val="24"/>
              </w:rPr>
              <w:t>FADE is used for the molecular modeling of the protein</w:t>
            </w:r>
          </w:p>
          <w:p>
            <w:pPr>
              <w:pStyle w:val="TableParagraph"/>
              <w:spacing w:line="261" w:lineRule="exact"/>
              <w:ind w:left="108"/>
              <w:rPr>
                <w:sz w:val="24"/>
              </w:rPr>
            </w:pPr>
            <w:r>
              <w:rPr>
                <w:sz w:val="24"/>
              </w:rPr>
              <w:t>structure.</w:t>
            </w:r>
          </w:p>
        </w:tc>
      </w:tr>
      <w:tr>
        <w:trPr>
          <w:trHeight w:val="275" w:hRule="atLeast"/>
        </w:trPr>
        <w:tc>
          <w:tcPr>
            <w:tcW w:w="2204" w:type="dxa"/>
          </w:tcPr>
          <w:p>
            <w:pPr>
              <w:pStyle w:val="TableParagraph"/>
              <w:spacing w:line="256" w:lineRule="exact"/>
              <w:ind w:left="116"/>
              <w:rPr>
                <w:sz w:val="24"/>
              </w:rPr>
            </w:pPr>
            <w:r>
              <w:rPr>
                <w:sz w:val="24"/>
              </w:rPr>
              <w:t>FlexiDock</w:t>
            </w:r>
          </w:p>
        </w:tc>
        <w:tc>
          <w:tcPr>
            <w:tcW w:w="6327" w:type="dxa"/>
          </w:tcPr>
          <w:p>
            <w:pPr>
              <w:pStyle w:val="TableParagraph"/>
              <w:spacing w:line="256" w:lineRule="exact"/>
              <w:ind w:left="108"/>
              <w:rPr>
                <w:sz w:val="24"/>
              </w:rPr>
            </w:pPr>
            <w:r>
              <w:rPr>
                <w:sz w:val="24"/>
              </w:rPr>
              <w:t>It is used for docking of protein and small molecule.</w:t>
            </w:r>
          </w:p>
        </w:tc>
      </w:tr>
      <w:tr>
        <w:trPr>
          <w:trHeight w:val="275" w:hRule="atLeast"/>
        </w:trPr>
        <w:tc>
          <w:tcPr>
            <w:tcW w:w="2204" w:type="dxa"/>
          </w:tcPr>
          <w:p>
            <w:pPr>
              <w:pStyle w:val="TableParagraph"/>
              <w:spacing w:line="256" w:lineRule="exact"/>
              <w:ind w:left="116"/>
              <w:rPr>
                <w:sz w:val="24"/>
              </w:rPr>
            </w:pPr>
            <w:r>
              <w:rPr>
                <w:sz w:val="24"/>
              </w:rPr>
              <w:t>FlexX</w:t>
            </w:r>
          </w:p>
        </w:tc>
        <w:tc>
          <w:tcPr>
            <w:tcW w:w="6327" w:type="dxa"/>
          </w:tcPr>
          <w:p>
            <w:pPr>
              <w:pStyle w:val="TableParagraph"/>
              <w:spacing w:line="256" w:lineRule="exact"/>
              <w:ind w:left="108"/>
              <w:rPr>
                <w:sz w:val="24"/>
              </w:rPr>
            </w:pPr>
            <w:r>
              <w:rPr>
                <w:sz w:val="24"/>
              </w:rPr>
              <w:t>FleXX is used to generate the protein-ligand complex.</w:t>
            </w:r>
          </w:p>
        </w:tc>
      </w:tr>
      <w:tr>
        <w:trPr>
          <w:trHeight w:val="552" w:hRule="atLeast"/>
        </w:trPr>
        <w:tc>
          <w:tcPr>
            <w:tcW w:w="2204" w:type="dxa"/>
          </w:tcPr>
          <w:p>
            <w:pPr>
              <w:pStyle w:val="TableParagraph"/>
              <w:spacing w:line="271" w:lineRule="exact"/>
              <w:ind w:left="116"/>
              <w:rPr>
                <w:sz w:val="24"/>
              </w:rPr>
            </w:pPr>
            <w:r>
              <w:rPr>
                <w:sz w:val="24"/>
              </w:rPr>
              <w:t>FTDock</w:t>
            </w:r>
          </w:p>
        </w:tc>
        <w:tc>
          <w:tcPr>
            <w:tcW w:w="6327" w:type="dxa"/>
          </w:tcPr>
          <w:p>
            <w:pPr>
              <w:pStyle w:val="TableParagraph"/>
              <w:spacing w:line="271" w:lineRule="exact"/>
              <w:ind w:left="108"/>
              <w:rPr>
                <w:sz w:val="24"/>
              </w:rPr>
            </w:pPr>
            <w:r>
              <w:rPr>
                <w:sz w:val="24"/>
              </w:rPr>
              <w:t>FTDock is used to generate protein-protein or protein-DNA</w:t>
            </w:r>
          </w:p>
          <w:p>
            <w:pPr>
              <w:pStyle w:val="TableParagraph"/>
              <w:spacing w:line="261" w:lineRule="exact"/>
              <w:ind w:left="108"/>
              <w:rPr>
                <w:sz w:val="24"/>
              </w:rPr>
            </w:pPr>
            <w:r>
              <w:rPr>
                <w:sz w:val="24"/>
              </w:rPr>
              <w:t>complex by rigid body docking algorithm.</w:t>
            </w:r>
          </w:p>
        </w:tc>
      </w:tr>
      <w:tr>
        <w:trPr>
          <w:trHeight w:val="276" w:hRule="atLeast"/>
        </w:trPr>
        <w:tc>
          <w:tcPr>
            <w:tcW w:w="2204" w:type="dxa"/>
          </w:tcPr>
          <w:p>
            <w:pPr>
              <w:pStyle w:val="TableParagraph"/>
              <w:spacing w:line="256" w:lineRule="exact"/>
              <w:ind w:left="116"/>
              <w:rPr>
                <w:sz w:val="24"/>
              </w:rPr>
            </w:pPr>
            <w:r>
              <w:rPr>
                <w:sz w:val="24"/>
              </w:rPr>
              <w:t>Glide</w:t>
            </w:r>
          </w:p>
        </w:tc>
        <w:tc>
          <w:tcPr>
            <w:tcW w:w="6327" w:type="dxa"/>
          </w:tcPr>
          <w:p>
            <w:pPr>
              <w:pStyle w:val="TableParagraph"/>
              <w:spacing w:line="256" w:lineRule="exact"/>
              <w:ind w:left="108"/>
              <w:rPr>
                <w:sz w:val="24"/>
              </w:rPr>
            </w:pPr>
            <w:r>
              <w:rPr>
                <w:sz w:val="24"/>
              </w:rPr>
              <w:t>Glide can be use for the protein and ligand docking.</w:t>
            </w:r>
          </w:p>
        </w:tc>
      </w:tr>
      <w:tr>
        <w:trPr>
          <w:trHeight w:val="275" w:hRule="atLeast"/>
        </w:trPr>
        <w:tc>
          <w:tcPr>
            <w:tcW w:w="2204" w:type="dxa"/>
          </w:tcPr>
          <w:p>
            <w:pPr>
              <w:pStyle w:val="TableParagraph"/>
              <w:spacing w:line="256" w:lineRule="exact"/>
              <w:ind w:left="116"/>
              <w:rPr>
                <w:sz w:val="24"/>
              </w:rPr>
            </w:pPr>
            <w:r>
              <w:rPr>
                <w:sz w:val="24"/>
              </w:rPr>
              <w:t>Gold</w:t>
            </w:r>
          </w:p>
        </w:tc>
        <w:tc>
          <w:tcPr>
            <w:tcW w:w="6327" w:type="dxa"/>
          </w:tcPr>
          <w:p>
            <w:pPr>
              <w:pStyle w:val="TableParagraph"/>
              <w:spacing w:line="256" w:lineRule="exact"/>
              <w:ind w:left="108"/>
              <w:rPr>
                <w:sz w:val="24"/>
              </w:rPr>
            </w:pPr>
            <w:r>
              <w:rPr>
                <w:sz w:val="24"/>
              </w:rPr>
              <w:t>It can be used for the protein and ligand docking.</w:t>
            </w:r>
          </w:p>
        </w:tc>
      </w:tr>
      <w:tr>
        <w:trPr>
          <w:trHeight w:val="552" w:hRule="atLeast"/>
        </w:trPr>
        <w:tc>
          <w:tcPr>
            <w:tcW w:w="2204" w:type="dxa"/>
          </w:tcPr>
          <w:p>
            <w:pPr>
              <w:pStyle w:val="TableParagraph"/>
              <w:spacing w:line="271" w:lineRule="exact"/>
              <w:ind w:left="116"/>
              <w:rPr>
                <w:sz w:val="24"/>
              </w:rPr>
            </w:pPr>
            <w:r>
              <w:rPr>
                <w:sz w:val="24"/>
              </w:rPr>
              <w:t>GRAMM</w:t>
            </w:r>
          </w:p>
        </w:tc>
        <w:tc>
          <w:tcPr>
            <w:tcW w:w="6327" w:type="dxa"/>
          </w:tcPr>
          <w:p>
            <w:pPr>
              <w:pStyle w:val="TableParagraph"/>
              <w:spacing w:line="271" w:lineRule="exact"/>
              <w:ind w:left="108"/>
              <w:rPr>
                <w:sz w:val="24"/>
              </w:rPr>
            </w:pPr>
            <w:r>
              <w:rPr>
                <w:sz w:val="24"/>
              </w:rPr>
              <w:t>It is used to generate protein-protein or protein-DNA complex</w:t>
            </w:r>
          </w:p>
          <w:p>
            <w:pPr>
              <w:pStyle w:val="TableParagraph"/>
              <w:spacing w:line="261" w:lineRule="exact"/>
              <w:ind w:left="108"/>
              <w:rPr>
                <w:sz w:val="24"/>
              </w:rPr>
            </w:pPr>
            <w:r>
              <w:rPr>
                <w:sz w:val="24"/>
              </w:rPr>
              <w:t>by rigid body docking algorithm.</w:t>
            </w:r>
          </w:p>
        </w:tc>
      </w:tr>
      <w:tr>
        <w:trPr>
          <w:trHeight w:val="554" w:hRule="atLeast"/>
        </w:trPr>
        <w:tc>
          <w:tcPr>
            <w:tcW w:w="2204" w:type="dxa"/>
            <w:tcBorders>
              <w:bottom w:val="single" w:sz="4" w:space="0" w:color="000000"/>
            </w:tcBorders>
          </w:tcPr>
          <w:p>
            <w:pPr>
              <w:pStyle w:val="TableParagraph"/>
              <w:tabs>
                <w:tab w:pos="1414" w:val="left" w:leader="none"/>
              </w:tabs>
              <w:spacing w:line="271" w:lineRule="exact"/>
              <w:ind w:left="116"/>
              <w:rPr>
                <w:sz w:val="24"/>
              </w:rPr>
            </w:pPr>
            <w:r>
              <w:rPr>
                <w:sz w:val="24"/>
              </w:rPr>
              <w:t>Molegro</w:t>
              <w:tab/>
              <w:t>Virtual</w:t>
            </w:r>
          </w:p>
          <w:p>
            <w:pPr>
              <w:pStyle w:val="TableParagraph"/>
              <w:spacing w:line="264" w:lineRule="exact"/>
              <w:ind w:left="116"/>
              <w:rPr>
                <w:sz w:val="24"/>
              </w:rPr>
            </w:pPr>
            <w:r>
              <w:rPr>
                <w:sz w:val="24"/>
              </w:rPr>
              <w:t>Docker</w:t>
            </w:r>
          </w:p>
        </w:tc>
        <w:tc>
          <w:tcPr>
            <w:tcW w:w="6327" w:type="dxa"/>
            <w:tcBorders>
              <w:bottom w:val="single" w:sz="4" w:space="0" w:color="000000"/>
            </w:tcBorders>
          </w:tcPr>
          <w:p>
            <w:pPr>
              <w:pStyle w:val="TableParagraph"/>
              <w:spacing w:line="271" w:lineRule="exact"/>
              <w:ind w:left="108"/>
              <w:rPr>
                <w:sz w:val="24"/>
              </w:rPr>
            </w:pPr>
            <w:r>
              <w:rPr>
                <w:sz w:val="24"/>
              </w:rPr>
              <w:t>It can be used to predict protein-ligand interaction.</w:t>
            </w:r>
          </w:p>
        </w:tc>
      </w:tr>
    </w:tbl>
    <w:p>
      <w:pPr>
        <w:pStyle w:val="BodyText"/>
        <w:rPr>
          <w:sz w:val="26"/>
        </w:rPr>
      </w:pPr>
    </w:p>
    <w:p>
      <w:pPr>
        <w:spacing w:line="360" w:lineRule="auto" w:before="213"/>
        <w:ind w:left="299" w:right="319" w:firstLine="0"/>
        <w:jc w:val="both"/>
        <w:rPr>
          <w:sz w:val="24"/>
        </w:rPr>
      </w:pPr>
      <w:r>
        <w:rPr>
          <w:b/>
          <w:sz w:val="24"/>
        </w:rPr>
        <w:t>Relevance of the docking result- </w:t>
      </w:r>
      <w:r>
        <w:rPr>
          <w:sz w:val="24"/>
        </w:rPr>
        <w:t>There are multiple approaches to understand the relevance of docked conformation of a ligand molecule.</w:t>
      </w:r>
    </w:p>
    <w:p>
      <w:pPr>
        <w:pStyle w:val="ListParagraph"/>
        <w:numPr>
          <w:ilvl w:val="0"/>
          <w:numId w:val="49"/>
        </w:numPr>
        <w:tabs>
          <w:tab w:pos="634" w:val="left" w:leader="none"/>
        </w:tabs>
        <w:spacing w:line="360" w:lineRule="auto" w:before="200" w:after="0"/>
        <w:ind w:left="299" w:right="317" w:firstLine="0"/>
        <w:jc w:val="both"/>
        <w:rPr>
          <w:sz w:val="24"/>
        </w:rPr>
      </w:pPr>
      <w:r>
        <w:rPr>
          <w:b/>
          <w:sz w:val="24"/>
        </w:rPr>
        <w:t>Docking against homologous host protein- </w:t>
      </w:r>
      <w:r>
        <w:rPr>
          <w:sz w:val="24"/>
        </w:rPr>
        <w:t>A ligand molecule can be docked against a homologous protein from the host and the energy parameters can be calculated. A significant difference may give confidence that the ligand molecules will not bind to the host</w:t>
      </w:r>
      <w:r>
        <w:rPr>
          <w:spacing w:val="-4"/>
          <w:sz w:val="24"/>
        </w:rPr>
        <w:t> </w:t>
      </w:r>
      <w:r>
        <w:rPr>
          <w:sz w:val="24"/>
        </w:rPr>
        <w:t>protein.</w:t>
      </w:r>
    </w:p>
    <w:p>
      <w:pPr>
        <w:pStyle w:val="ListParagraph"/>
        <w:numPr>
          <w:ilvl w:val="0"/>
          <w:numId w:val="49"/>
        </w:numPr>
        <w:tabs>
          <w:tab w:pos="588" w:val="left" w:leader="none"/>
        </w:tabs>
        <w:spacing w:line="360" w:lineRule="auto" w:before="199" w:after="0"/>
        <w:ind w:left="299" w:right="313" w:firstLine="0"/>
        <w:jc w:val="both"/>
        <w:rPr>
          <w:sz w:val="24"/>
        </w:rPr>
      </w:pPr>
      <w:r>
        <w:rPr>
          <w:b/>
          <w:sz w:val="24"/>
        </w:rPr>
        <w:t>Comparison with the substrate molecule-</w:t>
      </w:r>
      <w:r>
        <w:rPr>
          <w:sz w:val="24"/>
        </w:rPr>
        <w:t>To correlate the free energy value with the binding constant of the ligand, a comparison with the substrate molecule can be performed. A substrate molecule can be docked against target protein and the energy parameters can be calculated and used for the comparison purposes to in-directly understand the binding affinity of the ligand</w:t>
      </w:r>
      <w:r>
        <w:rPr>
          <w:spacing w:val="-12"/>
          <w:sz w:val="24"/>
        </w:rPr>
        <w:t> </w:t>
      </w:r>
      <w:r>
        <w:rPr>
          <w:sz w:val="24"/>
        </w:rPr>
        <w:t>molecule.</w:t>
      </w:r>
    </w:p>
    <w:p>
      <w:pPr>
        <w:spacing w:after="0" w:line="360" w:lineRule="auto"/>
        <w:jc w:val="both"/>
        <w:rPr>
          <w:sz w:val="24"/>
        </w:rPr>
        <w:sectPr>
          <w:pgSz w:w="11910" w:h="16840"/>
          <w:pgMar w:header="722" w:footer="748" w:top="1300" w:bottom="940" w:left="1500" w:right="1480"/>
        </w:sectPr>
      </w:pPr>
    </w:p>
    <w:p>
      <w:pPr>
        <w:pStyle w:val="ListParagraph"/>
        <w:numPr>
          <w:ilvl w:val="0"/>
          <w:numId w:val="46"/>
        </w:numPr>
        <w:tabs>
          <w:tab w:pos="555" w:val="left" w:leader="none"/>
        </w:tabs>
        <w:spacing w:line="360" w:lineRule="auto" w:before="119" w:after="0"/>
        <w:ind w:left="300" w:right="311" w:firstLine="0"/>
        <w:jc w:val="both"/>
        <w:rPr>
          <w:sz w:val="24"/>
        </w:rPr>
      </w:pPr>
      <w:r>
        <w:rPr>
          <w:b/>
          <w:sz w:val="24"/>
        </w:rPr>
        <w:t>In-silico toxicity prediction- </w:t>
      </w:r>
      <w:r>
        <w:rPr>
          <w:sz w:val="24"/>
        </w:rPr>
        <w:t>The list of different softwares for toxicity prediction can be accessed at weblink </w:t>
      </w:r>
      <w:hyperlink r:id="rId235">
        <w:r>
          <w:rPr>
            <w:sz w:val="24"/>
          </w:rPr>
          <w:t>http://www.click2drug.org/directory_ADMET.html. </w:t>
        </w:r>
      </w:hyperlink>
      <w:r>
        <w:rPr>
          <w:sz w:val="24"/>
        </w:rPr>
        <w:t>Most of the toxicity prediction software or web server either gives possibility of drawing the chemical structure or use the smiles of the ligand molecule to predict the toxicity in cell or animal based system. They also predict the carcinogenic and mutagenic potentials of the ligand in different systems such as cells, mouse, rat</w:t>
      </w:r>
      <w:r>
        <w:rPr>
          <w:spacing w:val="-5"/>
          <w:sz w:val="24"/>
        </w:rPr>
        <w:t> </w:t>
      </w:r>
      <w:r>
        <w:rPr>
          <w:sz w:val="24"/>
        </w:rPr>
        <w:t>etc.</w:t>
      </w:r>
    </w:p>
    <w:p>
      <w:pPr>
        <w:pStyle w:val="Heading4"/>
        <w:spacing w:before="205"/>
        <w:ind w:left="596" w:right="617"/>
        <w:jc w:val="center"/>
      </w:pPr>
      <w:r>
        <w:rPr/>
        <w:t>HOME ASSIGNMENT</w:t>
      </w:r>
    </w:p>
    <w:p>
      <w:pPr>
        <w:pStyle w:val="BodyText"/>
        <w:spacing w:before="4"/>
        <w:rPr>
          <w:b/>
          <w:sz w:val="29"/>
        </w:rPr>
      </w:pPr>
    </w:p>
    <w:p>
      <w:pPr>
        <w:pStyle w:val="ListParagraph"/>
        <w:numPr>
          <w:ilvl w:val="0"/>
          <w:numId w:val="50"/>
        </w:numPr>
        <w:tabs>
          <w:tab w:pos="555" w:val="left" w:leader="none"/>
        </w:tabs>
        <w:spacing w:line="276" w:lineRule="auto" w:before="0" w:after="0"/>
        <w:ind w:left="300" w:right="318" w:firstLine="0"/>
        <w:jc w:val="left"/>
        <w:rPr>
          <w:b/>
          <w:sz w:val="24"/>
        </w:rPr>
      </w:pPr>
      <w:r>
        <w:rPr>
          <w:b/>
          <w:sz w:val="24"/>
        </w:rPr>
        <w:t>Go to the plasmodium falciparum genome database (www.plasmodb.org) and down load the protein sequence with the plasmodb ID</w:t>
      </w:r>
      <w:r>
        <w:rPr>
          <w:b/>
          <w:spacing w:val="-10"/>
          <w:sz w:val="24"/>
        </w:rPr>
        <w:t> </w:t>
      </w:r>
      <w:r>
        <w:rPr>
          <w:b/>
          <w:sz w:val="24"/>
        </w:rPr>
        <w:t>PFD0975w.</w:t>
      </w:r>
    </w:p>
    <w:p>
      <w:pPr>
        <w:pStyle w:val="ListParagraph"/>
        <w:numPr>
          <w:ilvl w:val="0"/>
          <w:numId w:val="50"/>
        </w:numPr>
        <w:tabs>
          <w:tab w:pos="552" w:val="left" w:leader="none"/>
        </w:tabs>
        <w:spacing w:line="276" w:lineRule="auto" w:before="201" w:after="0"/>
        <w:ind w:left="300" w:right="319" w:firstLine="0"/>
        <w:jc w:val="left"/>
        <w:rPr>
          <w:b/>
          <w:sz w:val="24"/>
        </w:rPr>
      </w:pPr>
      <w:r>
        <w:rPr>
          <w:b/>
          <w:sz w:val="24"/>
        </w:rPr>
        <w:t>Identify the suitable template and perform homology modeling to prepare the 3-D model of the PFD0975w.</w:t>
      </w:r>
    </w:p>
    <w:p>
      <w:pPr>
        <w:pStyle w:val="ListParagraph"/>
        <w:numPr>
          <w:ilvl w:val="0"/>
          <w:numId w:val="50"/>
        </w:numPr>
        <w:tabs>
          <w:tab w:pos="622" w:val="left" w:leader="none"/>
        </w:tabs>
        <w:spacing w:line="276" w:lineRule="auto" w:before="200" w:after="0"/>
        <w:ind w:left="300" w:right="317" w:firstLine="0"/>
        <w:jc w:val="left"/>
        <w:rPr>
          <w:b/>
          <w:sz w:val="24"/>
        </w:rPr>
      </w:pPr>
      <w:r>
        <w:rPr>
          <w:b/>
          <w:sz w:val="24"/>
        </w:rPr>
        <w:t>Search similar molecules to the ATP molecule from the Zinc Database (</w:t>
      </w:r>
      <w:hyperlink r:id="rId236">
        <w:r>
          <w:rPr>
            <w:b/>
            <w:sz w:val="24"/>
          </w:rPr>
          <w:t>http://zinc.docking.org/).</w:t>
        </w:r>
      </w:hyperlink>
      <w:r>
        <w:rPr>
          <w:b/>
          <w:sz w:val="24"/>
        </w:rPr>
        <w:t> Download the</w:t>
      </w:r>
      <w:r>
        <w:rPr>
          <w:b/>
          <w:spacing w:val="-2"/>
          <w:sz w:val="24"/>
        </w:rPr>
        <w:t> </w:t>
      </w:r>
      <w:r>
        <w:rPr>
          <w:b/>
          <w:sz w:val="24"/>
        </w:rPr>
        <w:t>molecules.</w:t>
      </w:r>
    </w:p>
    <w:p>
      <w:pPr>
        <w:pStyle w:val="ListParagraph"/>
        <w:numPr>
          <w:ilvl w:val="0"/>
          <w:numId w:val="50"/>
        </w:numPr>
        <w:tabs>
          <w:tab w:pos="562" w:val="left" w:leader="none"/>
        </w:tabs>
        <w:spacing w:line="278" w:lineRule="auto" w:before="198" w:after="0"/>
        <w:ind w:left="300" w:right="317" w:firstLine="0"/>
        <w:jc w:val="left"/>
        <w:rPr>
          <w:b/>
          <w:sz w:val="24"/>
        </w:rPr>
      </w:pPr>
      <w:r>
        <w:rPr>
          <w:b/>
          <w:sz w:val="24"/>
        </w:rPr>
        <w:t>Perform docking of these molecules on the 3-D model of PFD0975w with the help of Autodock 4.1.</w:t>
      </w:r>
    </w:p>
    <w:sectPr>
      <w:pgSz w:w="11910" w:h="16840"/>
      <w:pgMar w:header="722" w:footer="748" w:top="1300" w:bottom="940" w:left="1500" w:right="148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Courier New">
    <w:altName w:val="Courier New"/>
    <w:charset w:val="0"/>
    <w:family w:val="modern"/>
    <w:pitch w:val="fixed"/>
  </w:font>
  <w:font w:name="Symbola">
    <w:altName w:val="Symbola"/>
    <w:charset w:val="0"/>
    <w:family w:val="roman"/>
    <w:pitch w:val="variable"/>
  </w:font>
  <w:font w:name="Carlito">
    <w:altName w:val="Carlito"/>
    <w:charset w:val="0"/>
    <w:family w:val="swiss"/>
    <w:pitch w:val="variable"/>
  </w:font>
  <w:font w:name="Symbol">
    <w:altName w:val="Symbol"/>
    <w:charset w:val="2"/>
    <w:family w:val="roman"/>
    <w:pitch w:val="variable"/>
  </w:font>
  <w:font w:name="DejaVu Serif">
    <w:altName w:val="DejaVu Serif"/>
    <w:charset w:val="0"/>
    <w:family w:val="roman"/>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793.524475pt;width:210.45pt;height:13.05pt;mso-position-horizontal-relative:page;mso-position-vertical-relative:page;z-index:-18538496" type="#_x0000_t202" filled="false" stroked="false">
          <v:textbox inset="0,0,0,0">
            <w:txbxContent>
              <w:p>
                <w:pPr>
                  <w:spacing w:before="10"/>
                  <w:ind w:left="20" w:right="0" w:firstLine="0"/>
                  <w:jc w:val="left"/>
                  <w:rPr>
                    <w:sz w:val="20"/>
                  </w:rPr>
                </w:pPr>
                <w:r>
                  <w:rPr>
                    <w:color w:val="808080"/>
                    <w:sz w:val="20"/>
                  </w:rPr>
                  <w:t>Joint initiative of IITs and IISc – Funded by MHRD</w:t>
                </w:r>
              </w:p>
            </w:txbxContent>
          </v:textbox>
          <w10:wrap type="none"/>
        </v:shape>
      </w:pict>
    </w:r>
    <w:r>
      <w:rPr/>
      <w:pict>
        <v:shape style="position:absolute;margin-left:447.559998pt;margin-top:793.524475pt;width:57.45pt;height:13.05pt;mso-position-horizontal-relative:page;mso-position-vertical-relative:page;z-index:-18537984" type="#_x0000_t202" filled="false" stroked="false">
          <v:textbox inset="0,0,0,0">
            <w:txbxContent>
              <w:p>
                <w:pPr>
                  <w:spacing w:before="10"/>
                  <w:ind w:left="20" w:right="0" w:firstLine="0"/>
                  <w:jc w:val="left"/>
                  <w:rPr>
                    <w:b/>
                    <w:sz w:val="20"/>
                  </w:rPr>
                </w:pPr>
                <w:r>
                  <w:rPr>
                    <w:color w:val="808080"/>
                    <w:sz w:val="20"/>
                  </w:rPr>
                  <w:t>Page </w:t>
                </w:r>
                <w:r>
                  <w:rPr/>
                  <w:fldChar w:fldCharType="begin"/>
                </w:r>
                <w:r>
                  <w:rPr>
                    <w:b/>
                    <w:color w:val="808080"/>
                    <w:sz w:val="20"/>
                  </w:rPr>
                  <w:instrText> PAGE </w:instrText>
                </w:r>
                <w:r>
                  <w:rPr/>
                  <w:fldChar w:fldCharType="separate"/>
                </w:r>
                <w:r>
                  <w:rPr/>
                  <w:t>10</w:t>
                </w:r>
                <w:r>
                  <w:rPr/>
                  <w:fldChar w:fldCharType="end"/>
                </w:r>
                <w:r>
                  <w:rPr>
                    <w:b/>
                    <w:color w:val="808080"/>
                    <w:sz w:val="20"/>
                  </w:rPr>
                  <w:t> </w:t>
                </w:r>
                <w:r>
                  <w:rPr>
                    <w:color w:val="808080"/>
                    <w:sz w:val="20"/>
                  </w:rPr>
                  <w:t>of </w:t>
                </w:r>
                <w:r>
                  <w:rPr>
                    <w:b/>
                    <w:color w:val="808080"/>
                    <w:sz w:val="20"/>
                  </w:rPr>
                  <w:t>20</w:t>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793.524475pt;width:210.45pt;height:13.05pt;mso-position-horizontal-relative:page;mso-position-vertical-relative:page;z-index:-18536960" type="#_x0000_t202" filled="false" stroked="false">
          <v:textbox inset="0,0,0,0">
            <w:txbxContent>
              <w:p>
                <w:pPr>
                  <w:spacing w:before="10"/>
                  <w:ind w:left="20" w:right="0" w:firstLine="0"/>
                  <w:jc w:val="left"/>
                  <w:rPr>
                    <w:sz w:val="20"/>
                  </w:rPr>
                </w:pPr>
                <w:r>
                  <w:rPr>
                    <w:color w:val="808080"/>
                    <w:sz w:val="20"/>
                  </w:rPr>
                  <w:t>Joint initiative of IITs and IISc – Funded by MHRD</w:t>
                </w:r>
              </w:p>
            </w:txbxContent>
          </v:textbox>
          <w10:wrap type="none"/>
        </v:shape>
      </w:pict>
    </w:r>
    <w:r>
      <w:rPr/>
      <w:pict>
        <v:shape style="position:absolute;margin-left:437.600006pt;margin-top:793.524475pt;width:57.45pt;height:13.05pt;mso-position-horizontal-relative:page;mso-position-vertical-relative:page;z-index:-18536448" type="#_x0000_t202" filled="false" stroked="false">
          <v:textbox inset="0,0,0,0">
            <w:txbxContent>
              <w:p>
                <w:pPr>
                  <w:spacing w:before="10"/>
                  <w:ind w:left="20" w:right="0" w:firstLine="0"/>
                  <w:jc w:val="left"/>
                  <w:rPr>
                    <w:b/>
                    <w:sz w:val="20"/>
                  </w:rPr>
                </w:pPr>
                <w:r>
                  <w:rPr>
                    <w:color w:val="808080"/>
                    <w:sz w:val="20"/>
                  </w:rPr>
                  <w:t>Page </w:t>
                </w:r>
                <w:r>
                  <w:rPr/>
                  <w:fldChar w:fldCharType="begin"/>
                </w:r>
                <w:r>
                  <w:rPr>
                    <w:b/>
                    <w:color w:val="808080"/>
                    <w:sz w:val="20"/>
                  </w:rPr>
                  <w:instrText> PAGE </w:instrText>
                </w:r>
                <w:r>
                  <w:rPr/>
                  <w:fldChar w:fldCharType="separate"/>
                </w:r>
                <w:r>
                  <w:rPr/>
                  <w:t>10</w:t>
                </w:r>
                <w:r>
                  <w:rPr/>
                  <w:fldChar w:fldCharType="end"/>
                </w:r>
                <w:r>
                  <w:rPr>
                    <w:b/>
                    <w:color w:val="808080"/>
                    <w:sz w:val="20"/>
                  </w:rPr>
                  <w:t> </w:t>
                </w:r>
                <w:r>
                  <w:rPr>
                    <w:color w:val="808080"/>
                    <w:sz w:val="20"/>
                  </w:rPr>
                  <w:t>of </w:t>
                </w:r>
                <w:r>
                  <w:rPr>
                    <w:b/>
                    <w:color w:val="808080"/>
                    <w:sz w:val="20"/>
                  </w:rPr>
                  <w:t>99</w:t>
                </w:r>
              </w:p>
            </w:txbxContent>
          </v:textbox>
          <w10:wrap type="non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793.524475pt;width:210.45pt;height:13.05pt;mso-position-horizontal-relative:page;mso-position-vertical-relative:page;z-index:-18535424" type="#_x0000_t202" filled="false" stroked="false">
          <v:textbox inset="0,0,0,0">
            <w:txbxContent>
              <w:p>
                <w:pPr>
                  <w:spacing w:before="10"/>
                  <w:ind w:left="20" w:right="0" w:firstLine="0"/>
                  <w:jc w:val="left"/>
                  <w:rPr>
                    <w:sz w:val="20"/>
                  </w:rPr>
                </w:pPr>
                <w:r>
                  <w:rPr>
                    <w:color w:val="808080"/>
                    <w:sz w:val="20"/>
                  </w:rPr>
                  <w:t>Joint initiative of IITs and IISc – Funded by MHRD</w:t>
                </w:r>
              </w:p>
            </w:txbxContent>
          </v:textbox>
          <w10:wrap type="none"/>
        </v:shape>
      </w:pict>
    </w:r>
    <w:r>
      <w:rPr/>
      <w:pict>
        <v:shape style="position:absolute;margin-left:437.600006pt;margin-top:793.524475pt;width:57.45pt;height:13.05pt;mso-position-horizontal-relative:page;mso-position-vertical-relative:page;z-index:-18534912" type="#_x0000_t202" filled="false" stroked="false">
          <v:textbox inset="0,0,0,0">
            <w:txbxContent>
              <w:p>
                <w:pPr>
                  <w:spacing w:before="10"/>
                  <w:ind w:left="20" w:right="0" w:firstLine="0"/>
                  <w:jc w:val="left"/>
                  <w:rPr>
                    <w:b/>
                    <w:sz w:val="20"/>
                  </w:rPr>
                </w:pPr>
                <w:r>
                  <w:rPr>
                    <w:color w:val="808080"/>
                    <w:sz w:val="20"/>
                  </w:rPr>
                  <w:t>Page </w:t>
                </w:r>
                <w:r>
                  <w:rPr/>
                  <w:fldChar w:fldCharType="begin"/>
                </w:r>
                <w:r>
                  <w:rPr>
                    <w:b/>
                    <w:color w:val="808080"/>
                    <w:sz w:val="20"/>
                  </w:rPr>
                  <w:instrText> PAGE </w:instrText>
                </w:r>
                <w:r>
                  <w:rPr/>
                  <w:fldChar w:fldCharType="separate"/>
                </w:r>
                <w:r>
                  <w:rPr/>
                  <w:t>10</w:t>
                </w:r>
                <w:r>
                  <w:rPr/>
                  <w:fldChar w:fldCharType="end"/>
                </w:r>
                <w:r>
                  <w:rPr>
                    <w:b/>
                    <w:color w:val="808080"/>
                    <w:sz w:val="20"/>
                  </w:rPr>
                  <w:t> </w:t>
                </w:r>
                <w:r>
                  <w:rPr>
                    <w:color w:val="808080"/>
                    <w:sz w:val="20"/>
                  </w:rPr>
                  <w:t>of </w:t>
                </w:r>
                <w:r>
                  <w:rPr>
                    <w:b/>
                    <w:color w:val="808080"/>
                    <w:sz w:val="20"/>
                  </w:rPr>
                  <w:t>45</w:t>
                </w:r>
              </w:p>
            </w:txbxContent>
          </v:textbox>
          <w10:wrap type="non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793.524475pt;width:210.45pt;height:13.05pt;mso-position-horizontal-relative:page;mso-position-vertical-relative:page;z-index:-18533888" type="#_x0000_t202" filled="false" stroked="false">
          <v:textbox inset="0,0,0,0">
            <w:txbxContent>
              <w:p>
                <w:pPr>
                  <w:spacing w:before="10"/>
                  <w:ind w:left="20" w:right="0" w:firstLine="0"/>
                  <w:jc w:val="left"/>
                  <w:rPr>
                    <w:sz w:val="20"/>
                  </w:rPr>
                </w:pPr>
                <w:r>
                  <w:rPr>
                    <w:color w:val="808080"/>
                    <w:sz w:val="20"/>
                  </w:rPr>
                  <w:t>Joint initiative of IITs and IISc – Funded by MHRD</w:t>
                </w:r>
              </w:p>
            </w:txbxContent>
          </v:textbox>
          <w10:wrap type="none"/>
        </v:shape>
      </w:pict>
    </w:r>
    <w:r>
      <w:rPr/>
      <w:pict>
        <v:shape style="position:absolute;margin-left:437.600006pt;margin-top:793.524475pt;width:57.45pt;height:13.05pt;mso-position-horizontal-relative:page;mso-position-vertical-relative:page;z-index:-18533376" type="#_x0000_t202" filled="false" stroked="false">
          <v:textbox inset="0,0,0,0">
            <w:txbxContent>
              <w:p>
                <w:pPr>
                  <w:spacing w:before="10"/>
                  <w:ind w:left="20" w:right="0" w:firstLine="0"/>
                  <w:jc w:val="left"/>
                  <w:rPr>
                    <w:b/>
                    <w:sz w:val="20"/>
                  </w:rPr>
                </w:pPr>
                <w:r>
                  <w:rPr>
                    <w:color w:val="808080"/>
                    <w:sz w:val="20"/>
                  </w:rPr>
                  <w:t>Page </w:t>
                </w:r>
                <w:r>
                  <w:rPr/>
                  <w:fldChar w:fldCharType="begin"/>
                </w:r>
                <w:r>
                  <w:rPr>
                    <w:b/>
                    <w:color w:val="808080"/>
                    <w:sz w:val="20"/>
                  </w:rPr>
                  <w:instrText> PAGE </w:instrText>
                </w:r>
                <w:r>
                  <w:rPr/>
                  <w:fldChar w:fldCharType="separate"/>
                </w:r>
                <w:r>
                  <w:rPr/>
                  <w:t>10</w:t>
                </w:r>
                <w:r>
                  <w:rPr/>
                  <w:fldChar w:fldCharType="end"/>
                </w:r>
                <w:r>
                  <w:rPr>
                    <w:b/>
                    <w:color w:val="808080"/>
                    <w:sz w:val="20"/>
                  </w:rPr>
                  <w:t> </w:t>
                </w:r>
                <w:r>
                  <w:rPr>
                    <w:color w:val="808080"/>
                    <w:sz w:val="20"/>
                  </w:rPr>
                  <w:t>of </w:t>
                </w:r>
                <w:r>
                  <w:rPr>
                    <w:b/>
                    <w:color w:val="808080"/>
                    <w:sz w:val="20"/>
                  </w:rPr>
                  <w:t>32</w:t>
                </w:r>
              </w:p>
            </w:txbxContent>
          </v:textbox>
          <w10:wrap type="non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793.524475pt;width:210.45pt;height:13.05pt;mso-position-horizontal-relative:page;mso-position-vertical-relative:page;z-index:-18532352" type="#_x0000_t202" filled="false" stroked="false">
          <v:textbox inset="0,0,0,0">
            <w:txbxContent>
              <w:p>
                <w:pPr>
                  <w:spacing w:before="10"/>
                  <w:ind w:left="20" w:right="0" w:firstLine="0"/>
                  <w:jc w:val="left"/>
                  <w:rPr>
                    <w:sz w:val="20"/>
                  </w:rPr>
                </w:pPr>
                <w:r>
                  <w:rPr>
                    <w:color w:val="808080"/>
                    <w:sz w:val="20"/>
                  </w:rPr>
                  <w:t>Joint initiative of IITs and IISc – Funded by MHRD</w:t>
                </w:r>
              </w:p>
            </w:txbxContent>
          </v:textbox>
          <w10:wrap type="none"/>
        </v:shape>
      </w:pict>
    </w:r>
    <w:r>
      <w:rPr/>
      <w:pict>
        <v:shape style="position:absolute;margin-left:437.600006pt;margin-top:793.524475pt;width:57.45pt;height:13.05pt;mso-position-horizontal-relative:page;mso-position-vertical-relative:page;z-index:-18531840" type="#_x0000_t202" filled="false" stroked="false">
          <v:textbox inset="0,0,0,0">
            <w:txbxContent>
              <w:p>
                <w:pPr>
                  <w:spacing w:before="10"/>
                  <w:ind w:left="20" w:right="0" w:firstLine="0"/>
                  <w:jc w:val="left"/>
                  <w:rPr>
                    <w:b/>
                    <w:sz w:val="20"/>
                  </w:rPr>
                </w:pPr>
                <w:r>
                  <w:rPr>
                    <w:color w:val="808080"/>
                    <w:sz w:val="20"/>
                  </w:rPr>
                  <w:t>Page </w:t>
                </w:r>
                <w:r>
                  <w:rPr/>
                  <w:fldChar w:fldCharType="begin"/>
                </w:r>
                <w:r>
                  <w:rPr>
                    <w:b/>
                    <w:color w:val="808080"/>
                    <w:sz w:val="20"/>
                  </w:rPr>
                  <w:instrText> PAGE </w:instrText>
                </w:r>
                <w:r>
                  <w:rPr/>
                  <w:fldChar w:fldCharType="separate"/>
                </w:r>
                <w:r>
                  <w:rPr/>
                  <w:t>10</w:t>
                </w:r>
                <w:r>
                  <w:rPr/>
                  <w:fldChar w:fldCharType="end"/>
                </w:r>
                <w:r>
                  <w:rPr>
                    <w:b/>
                    <w:color w:val="808080"/>
                    <w:sz w:val="20"/>
                  </w:rPr>
                  <w:t> </w:t>
                </w:r>
                <w:r>
                  <w:rPr>
                    <w:color w:val="808080"/>
                    <w:sz w:val="20"/>
                  </w:rPr>
                  <w:t>of </w:t>
                </w:r>
                <w:r>
                  <w:rPr>
                    <w:b/>
                    <w:color w:val="808080"/>
                    <w:sz w:val="20"/>
                  </w:rPr>
                  <w:t>51</w:t>
                </w:r>
              </w:p>
            </w:txbxContent>
          </v:textbox>
          <w10:wrap type="non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793.524475pt;width:210.45pt;height:13.05pt;mso-position-horizontal-relative:page;mso-position-vertical-relative:page;z-index:-18530816" type="#_x0000_t202" filled="false" stroked="false">
          <v:textbox inset="0,0,0,0">
            <w:txbxContent>
              <w:p>
                <w:pPr>
                  <w:spacing w:before="10"/>
                  <w:ind w:left="20" w:right="0" w:firstLine="0"/>
                  <w:jc w:val="left"/>
                  <w:rPr>
                    <w:sz w:val="20"/>
                  </w:rPr>
                </w:pPr>
                <w:r>
                  <w:rPr>
                    <w:color w:val="808080"/>
                    <w:sz w:val="20"/>
                  </w:rPr>
                  <w:t>Joint initiative of IITs and IISc – Funded by MHRD</w:t>
                </w:r>
              </w:p>
            </w:txbxContent>
          </v:textbox>
          <w10:wrap type="none"/>
        </v:shape>
      </w:pict>
    </w:r>
    <w:r>
      <w:rPr/>
      <w:pict>
        <v:shape style="position:absolute;margin-left:437.600006pt;margin-top:793.524475pt;width:57.45pt;height:13.05pt;mso-position-horizontal-relative:page;mso-position-vertical-relative:page;z-index:-18530304" type="#_x0000_t202" filled="false" stroked="false">
          <v:textbox inset="0,0,0,0">
            <w:txbxContent>
              <w:p>
                <w:pPr>
                  <w:spacing w:before="10"/>
                  <w:ind w:left="20" w:right="0" w:firstLine="0"/>
                  <w:jc w:val="left"/>
                  <w:rPr>
                    <w:b/>
                    <w:sz w:val="20"/>
                  </w:rPr>
                </w:pPr>
                <w:r>
                  <w:rPr>
                    <w:color w:val="808080"/>
                    <w:sz w:val="20"/>
                  </w:rPr>
                  <w:t>Page </w:t>
                </w:r>
                <w:r>
                  <w:rPr/>
                  <w:fldChar w:fldCharType="begin"/>
                </w:r>
                <w:r>
                  <w:rPr>
                    <w:b/>
                    <w:color w:val="808080"/>
                    <w:sz w:val="20"/>
                  </w:rPr>
                  <w:instrText> PAGE </w:instrText>
                </w:r>
                <w:r>
                  <w:rPr/>
                  <w:fldChar w:fldCharType="separate"/>
                </w:r>
                <w:r>
                  <w:rPr/>
                  <w:t>10</w:t>
                </w:r>
                <w:r>
                  <w:rPr/>
                  <w:fldChar w:fldCharType="end"/>
                </w:r>
                <w:r>
                  <w:rPr>
                    <w:b/>
                    <w:color w:val="808080"/>
                    <w:sz w:val="20"/>
                  </w:rPr>
                  <w:t> </w:t>
                </w:r>
                <w:r>
                  <w:rPr>
                    <w:color w:val="808080"/>
                    <w:sz w:val="20"/>
                  </w:rPr>
                  <w:t>of </w:t>
                </w:r>
                <w:r>
                  <w:rPr>
                    <w:b/>
                    <w:color w:val="808080"/>
                    <w:sz w:val="20"/>
                  </w:rPr>
                  <w:t>21</w:t>
                </w:r>
              </w:p>
            </w:txbxContent>
          </v:textbox>
          <w10:wrap type="none"/>
        </v:shape>
      </w:pic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type id="_x0000_t202" o:spt="202" coordsize="21600,21600" path="m,l,21600r21600,l21600,xe">
          <v:stroke joinstyle="miter"/>
          <v:path gradientshapeok="t" o:connecttype="rect"/>
        </v:shapetype>
        <v:shape style="position:absolute;margin-left:89pt;margin-top:35.124496pt;width:293.150pt;height:13.05pt;mso-position-horizontal-relative:page;mso-position-vertical-relative:page;z-index:-18539008" type="#_x0000_t202" filled="false" stroked="false">
          <v:textbox inset="0,0,0,0">
            <w:txbxContent>
              <w:p>
                <w:pPr>
                  <w:spacing w:before="10"/>
                  <w:ind w:left="20" w:right="0" w:firstLine="0"/>
                  <w:jc w:val="left"/>
                  <w:rPr>
                    <w:sz w:val="20"/>
                  </w:rPr>
                </w:pPr>
                <w:r>
                  <w:rPr>
                    <w:color w:val="808080"/>
                    <w:sz w:val="20"/>
                  </w:rPr>
                  <w:t>NPTEL – Biotechnology – Bioanalytical Techniques and Bioinformatics</w:t>
                </w:r>
              </w:p>
            </w:txbxContent>
          </v:textbox>
          <w10:wrap type="non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35.124496pt;width:293.150pt;height:13.05pt;mso-position-horizontal-relative:page;mso-position-vertical-relative:page;z-index:-18537472" type="#_x0000_t202" filled="false" stroked="false">
          <v:textbox inset="0,0,0,0">
            <w:txbxContent>
              <w:p>
                <w:pPr>
                  <w:spacing w:before="10"/>
                  <w:ind w:left="20" w:right="0" w:firstLine="0"/>
                  <w:jc w:val="left"/>
                  <w:rPr>
                    <w:sz w:val="20"/>
                  </w:rPr>
                </w:pPr>
                <w:r>
                  <w:rPr>
                    <w:color w:val="808080"/>
                    <w:sz w:val="20"/>
                  </w:rPr>
                  <w:t>NPTEL – Biotechnology – Bioanalytical Techniques and Bioinformatics</w:t>
                </w:r>
              </w:p>
            </w:txbxContent>
          </v:textbox>
          <w10:wrap type="non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35.124496pt;width:293.150pt;height:13.05pt;mso-position-horizontal-relative:page;mso-position-vertical-relative:page;z-index:-18535936" type="#_x0000_t202" filled="false" stroked="false">
          <v:textbox inset="0,0,0,0">
            <w:txbxContent>
              <w:p>
                <w:pPr>
                  <w:spacing w:before="10"/>
                  <w:ind w:left="20" w:right="0" w:firstLine="0"/>
                  <w:jc w:val="left"/>
                  <w:rPr>
                    <w:sz w:val="20"/>
                  </w:rPr>
                </w:pPr>
                <w:r>
                  <w:rPr>
                    <w:color w:val="808080"/>
                    <w:sz w:val="20"/>
                  </w:rPr>
                  <w:t>NPTEL – Biotechnology – Bioanalytical Techniques and Bioinformatics</w:t>
                </w:r>
              </w:p>
            </w:txbxContent>
          </v:textbox>
          <w10:wrap type="none"/>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35.124496pt;width:293.150pt;height:13.05pt;mso-position-horizontal-relative:page;mso-position-vertical-relative:page;z-index:-18534400" type="#_x0000_t202" filled="false" stroked="false">
          <v:textbox inset="0,0,0,0">
            <w:txbxContent>
              <w:p>
                <w:pPr>
                  <w:spacing w:before="10"/>
                  <w:ind w:left="20" w:right="0" w:firstLine="0"/>
                  <w:jc w:val="left"/>
                  <w:rPr>
                    <w:sz w:val="20"/>
                  </w:rPr>
                </w:pPr>
                <w:r>
                  <w:rPr>
                    <w:color w:val="808080"/>
                    <w:sz w:val="20"/>
                  </w:rPr>
                  <w:t>NPTEL – Biotechnology – Bioanalytical Techniques and Bioinformatics</w:t>
                </w:r>
              </w:p>
            </w:txbxContent>
          </v:textbox>
          <w10:wrap type="non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35.124496pt;width:293.150pt;height:13.05pt;mso-position-horizontal-relative:page;mso-position-vertical-relative:page;z-index:-18532864" type="#_x0000_t202" filled="false" stroked="false">
          <v:textbox inset="0,0,0,0">
            <w:txbxContent>
              <w:p>
                <w:pPr>
                  <w:spacing w:before="10"/>
                  <w:ind w:left="20" w:right="0" w:firstLine="0"/>
                  <w:jc w:val="left"/>
                  <w:rPr>
                    <w:sz w:val="20"/>
                  </w:rPr>
                </w:pPr>
                <w:r>
                  <w:rPr>
                    <w:color w:val="808080"/>
                    <w:sz w:val="20"/>
                  </w:rPr>
                  <w:t>NPTEL – Biotechnology – Bioanalytical Techniques and Bioinformatics</w:t>
                </w:r>
              </w:p>
            </w:txbxContent>
          </v:textbox>
          <w10:wrap type="none"/>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89pt;margin-top:35.124496pt;width:293.150pt;height:13.05pt;mso-position-horizontal-relative:page;mso-position-vertical-relative:page;z-index:-18531328" type="#_x0000_t202" filled="false" stroked="false">
          <v:textbox inset="0,0,0,0">
            <w:txbxContent>
              <w:p>
                <w:pPr>
                  <w:spacing w:before="10"/>
                  <w:ind w:left="20" w:right="0" w:firstLine="0"/>
                  <w:jc w:val="left"/>
                  <w:rPr>
                    <w:sz w:val="20"/>
                  </w:rPr>
                </w:pPr>
                <w:r>
                  <w:rPr>
                    <w:color w:val="808080"/>
                    <w:sz w:val="20"/>
                  </w:rPr>
                  <w:t>NPTEL – Biotechnology – Bioanalytical Techniques and Bioinformatics</w:t>
                </w:r>
              </w:p>
            </w:txbxContent>
          </v:textbox>
          <w10:wrap type="non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4">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29"/>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49">
    <w:multiLevelType w:val="hybridMultilevel"/>
    <w:lvl w:ilvl="0">
      <w:start w:val="1"/>
      <w:numFmt w:val="decimal"/>
      <w:lvlText w:val="%1."/>
      <w:lvlJc w:val="left"/>
      <w:pPr>
        <w:ind w:left="300" w:hanging="255"/>
        <w:jc w:val="left"/>
      </w:pPr>
      <w:rPr>
        <w:rFonts w:hint="default" w:ascii="Times New Roman" w:hAnsi="Times New Roman" w:eastAsia="Times New Roman" w:cs="Times New Roman"/>
        <w:b/>
        <w:bCs/>
        <w:w w:val="100"/>
        <w:sz w:val="24"/>
        <w:szCs w:val="24"/>
        <w:lang w:val="en-US" w:eastAsia="en-US" w:bidi="ar-SA"/>
      </w:rPr>
    </w:lvl>
    <w:lvl w:ilvl="1">
      <w:start w:val="0"/>
      <w:numFmt w:val="bullet"/>
      <w:lvlText w:val="•"/>
      <w:lvlJc w:val="left"/>
      <w:pPr>
        <w:ind w:left="1162" w:hanging="255"/>
      </w:pPr>
      <w:rPr>
        <w:rFonts w:hint="default"/>
        <w:lang w:val="en-US" w:eastAsia="en-US" w:bidi="ar-SA"/>
      </w:rPr>
    </w:lvl>
    <w:lvl w:ilvl="2">
      <w:start w:val="0"/>
      <w:numFmt w:val="bullet"/>
      <w:lvlText w:val="•"/>
      <w:lvlJc w:val="left"/>
      <w:pPr>
        <w:ind w:left="2025" w:hanging="255"/>
      </w:pPr>
      <w:rPr>
        <w:rFonts w:hint="default"/>
        <w:lang w:val="en-US" w:eastAsia="en-US" w:bidi="ar-SA"/>
      </w:rPr>
    </w:lvl>
    <w:lvl w:ilvl="3">
      <w:start w:val="0"/>
      <w:numFmt w:val="bullet"/>
      <w:lvlText w:val="•"/>
      <w:lvlJc w:val="left"/>
      <w:pPr>
        <w:ind w:left="2887" w:hanging="255"/>
      </w:pPr>
      <w:rPr>
        <w:rFonts w:hint="default"/>
        <w:lang w:val="en-US" w:eastAsia="en-US" w:bidi="ar-SA"/>
      </w:rPr>
    </w:lvl>
    <w:lvl w:ilvl="4">
      <w:start w:val="0"/>
      <w:numFmt w:val="bullet"/>
      <w:lvlText w:val="•"/>
      <w:lvlJc w:val="left"/>
      <w:pPr>
        <w:ind w:left="3750" w:hanging="255"/>
      </w:pPr>
      <w:rPr>
        <w:rFonts w:hint="default"/>
        <w:lang w:val="en-US" w:eastAsia="en-US" w:bidi="ar-SA"/>
      </w:rPr>
    </w:lvl>
    <w:lvl w:ilvl="5">
      <w:start w:val="0"/>
      <w:numFmt w:val="bullet"/>
      <w:lvlText w:val="•"/>
      <w:lvlJc w:val="left"/>
      <w:pPr>
        <w:ind w:left="4613" w:hanging="255"/>
      </w:pPr>
      <w:rPr>
        <w:rFonts w:hint="default"/>
        <w:lang w:val="en-US" w:eastAsia="en-US" w:bidi="ar-SA"/>
      </w:rPr>
    </w:lvl>
    <w:lvl w:ilvl="6">
      <w:start w:val="0"/>
      <w:numFmt w:val="bullet"/>
      <w:lvlText w:val="•"/>
      <w:lvlJc w:val="left"/>
      <w:pPr>
        <w:ind w:left="5475" w:hanging="255"/>
      </w:pPr>
      <w:rPr>
        <w:rFonts w:hint="default"/>
        <w:lang w:val="en-US" w:eastAsia="en-US" w:bidi="ar-SA"/>
      </w:rPr>
    </w:lvl>
    <w:lvl w:ilvl="7">
      <w:start w:val="0"/>
      <w:numFmt w:val="bullet"/>
      <w:lvlText w:val="•"/>
      <w:lvlJc w:val="left"/>
      <w:pPr>
        <w:ind w:left="6338" w:hanging="255"/>
      </w:pPr>
      <w:rPr>
        <w:rFonts w:hint="default"/>
        <w:lang w:val="en-US" w:eastAsia="en-US" w:bidi="ar-SA"/>
      </w:rPr>
    </w:lvl>
    <w:lvl w:ilvl="8">
      <w:start w:val="0"/>
      <w:numFmt w:val="bullet"/>
      <w:lvlText w:val="•"/>
      <w:lvlJc w:val="left"/>
      <w:pPr>
        <w:ind w:left="7201" w:hanging="255"/>
      </w:pPr>
      <w:rPr>
        <w:rFonts w:hint="default"/>
        <w:lang w:val="en-US" w:eastAsia="en-US" w:bidi="ar-SA"/>
      </w:rPr>
    </w:lvl>
  </w:abstractNum>
  <w:abstractNum w:abstractNumId="48">
    <w:multiLevelType w:val="hybridMultilevel"/>
    <w:lvl w:ilvl="0">
      <w:start w:val="1"/>
      <w:numFmt w:val="upperLetter"/>
      <w:lvlText w:val="%1."/>
      <w:lvlJc w:val="left"/>
      <w:pPr>
        <w:ind w:left="300" w:hanging="334"/>
        <w:jc w:val="left"/>
      </w:pPr>
      <w:rPr>
        <w:rFonts w:hint="default" w:ascii="Times New Roman" w:hAnsi="Times New Roman" w:eastAsia="Times New Roman" w:cs="Times New Roman"/>
        <w:b/>
        <w:bCs/>
        <w:spacing w:val="-23"/>
        <w:w w:val="99"/>
        <w:sz w:val="24"/>
        <w:szCs w:val="24"/>
        <w:lang w:val="en-US" w:eastAsia="en-US" w:bidi="ar-SA"/>
      </w:rPr>
    </w:lvl>
    <w:lvl w:ilvl="1">
      <w:start w:val="0"/>
      <w:numFmt w:val="bullet"/>
      <w:lvlText w:val="•"/>
      <w:lvlJc w:val="left"/>
      <w:pPr>
        <w:ind w:left="1162" w:hanging="334"/>
      </w:pPr>
      <w:rPr>
        <w:rFonts w:hint="default"/>
        <w:lang w:val="en-US" w:eastAsia="en-US" w:bidi="ar-SA"/>
      </w:rPr>
    </w:lvl>
    <w:lvl w:ilvl="2">
      <w:start w:val="0"/>
      <w:numFmt w:val="bullet"/>
      <w:lvlText w:val="•"/>
      <w:lvlJc w:val="left"/>
      <w:pPr>
        <w:ind w:left="2025" w:hanging="334"/>
      </w:pPr>
      <w:rPr>
        <w:rFonts w:hint="default"/>
        <w:lang w:val="en-US" w:eastAsia="en-US" w:bidi="ar-SA"/>
      </w:rPr>
    </w:lvl>
    <w:lvl w:ilvl="3">
      <w:start w:val="0"/>
      <w:numFmt w:val="bullet"/>
      <w:lvlText w:val="•"/>
      <w:lvlJc w:val="left"/>
      <w:pPr>
        <w:ind w:left="2887" w:hanging="334"/>
      </w:pPr>
      <w:rPr>
        <w:rFonts w:hint="default"/>
        <w:lang w:val="en-US" w:eastAsia="en-US" w:bidi="ar-SA"/>
      </w:rPr>
    </w:lvl>
    <w:lvl w:ilvl="4">
      <w:start w:val="0"/>
      <w:numFmt w:val="bullet"/>
      <w:lvlText w:val="•"/>
      <w:lvlJc w:val="left"/>
      <w:pPr>
        <w:ind w:left="3750" w:hanging="334"/>
      </w:pPr>
      <w:rPr>
        <w:rFonts w:hint="default"/>
        <w:lang w:val="en-US" w:eastAsia="en-US" w:bidi="ar-SA"/>
      </w:rPr>
    </w:lvl>
    <w:lvl w:ilvl="5">
      <w:start w:val="0"/>
      <w:numFmt w:val="bullet"/>
      <w:lvlText w:val="•"/>
      <w:lvlJc w:val="left"/>
      <w:pPr>
        <w:ind w:left="4613" w:hanging="334"/>
      </w:pPr>
      <w:rPr>
        <w:rFonts w:hint="default"/>
        <w:lang w:val="en-US" w:eastAsia="en-US" w:bidi="ar-SA"/>
      </w:rPr>
    </w:lvl>
    <w:lvl w:ilvl="6">
      <w:start w:val="0"/>
      <w:numFmt w:val="bullet"/>
      <w:lvlText w:val="•"/>
      <w:lvlJc w:val="left"/>
      <w:pPr>
        <w:ind w:left="5475" w:hanging="334"/>
      </w:pPr>
      <w:rPr>
        <w:rFonts w:hint="default"/>
        <w:lang w:val="en-US" w:eastAsia="en-US" w:bidi="ar-SA"/>
      </w:rPr>
    </w:lvl>
    <w:lvl w:ilvl="7">
      <w:start w:val="0"/>
      <w:numFmt w:val="bullet"/>
      <w:lvlText w:val="•"/>
      <w:lvlJc w:val="left"/>
      <w:pPr>
        <w:ind w:left="6338" w:hanging="334"/>
      </w:pPr>
      <w:rPr>
        <w:rFonts w:hint="default"/>
        <w:lang w:val="en-US" w:eastAsia="en-US" w:bidi="ar-SA"/>
      </w:rPr>
    </w:lvl>
    <w:lvl w:ilvl="8">
      <w:start w:val="0"/>
      <w:numFmt w:val="bullet"/>
      <w:lvlText w:val="•"/>
      <w:lvlJc w:val="left"/>
      <w:pPr>
        <w:ind w:left="7201" w:hanging="334"/>
      </w:pPr>
      <w:rPr>
        <w:rFonts w:hint="default"/>
        <w:lang w:val="en-US" w:eastAsia="en-US" w:bidi="ar-SA"/>
      </w:rPr>
    </w:lvl>
  </w:abstractNum>
  <w:abstractNum w:abstractNumId="47">
    <w:multiLevelType w:val="hybridMultilevel"/>
    <w:lvl w:ilvl="0">
      <w:start w:val="1"/>
      <w:numFmt w:val="decimal"/>
      <w:lvlText w:val="%1."/>
      <w:lvlJc w:val="left"/>
      <w:pPr>
        <w:ind w:left="103" w:hanging="243"/>
        <w:jc w:val="left"/>
      </w:pPr>
      <w:rPr>
        <w:rFonts w:hint="default" w:ascii="Times New Roman" w:hAnsi="Times New Roman" w:eastAsia="Times New Roman" w:cs="Times New Roman"/>
        <w:b/>
        <w:bCs/>
        <w:w w:val="100"/>
        <w:sz w:val="24"/>
        <w:szCs w:val="24"/>
        <w:lang w:val="en-US" w:eastAsia="en-US" w:bidi="ar-SA"/>
      </w:rPr>
    </w:lvl>
    <w:lvl w:ilvl="1">
      <w:start w:val="0"/>
      <w:numFmt w:val="bullet"/>
      <w:lvlText w:val="•"/>
      <w:lvlJc w:val="left"/>
      <w:pPr>
        <w:ind w:left="908" w:hanging="243"/>
      </w:pPr>
      <w:rPr>
        <w:rFonts w:hint="default"/>
        <w:lang w:val="en-US" w:eastAsia="en-US" w:bidi="ar-SA"/>
      </w:rPr>
    </w:lvl>
    <w:lvl w:ilvl="2">
      <w:start w:val="0"/>
      <w:numFmt w:val="bullet"/>
      <w:lvlText w:val="•"/>
      <w:lvlJc w:val="left"/>
      <w:pPr>
        <w:ind w:left="1716" w:hanging="243"/>
      </w:pPr>
      <w:rPr>
        <w:rFonts w:hint="default"/>
        <w:lang w:val="en-US" w:eastAsia="en-US" w:bidi="ar-SA"/>
      </w:rPr>
    </w:lvl>
    <w:lvl w:ilvl="3">
      <w:start w:val="0"/>
      <w:numFmt w:val="bullet"/>
      <w:lvlText w:val="•"/>
      <w:lvlJc w:val="left"/>
      <w:pPr>
        <w:ind w:left="2524" w:hanging="243"/>
      </w:pPr>
      <w:rPr>
        <w:rFonts w:hint="default"/>
        <w:lang w:val="en-US" w:eastAsia="en-US" w:bidi="ar-SA"/>
      </w:rPr>
    </w:lvl>
    <w:lvl w:ilvl="4">
      <w:start w:val="0"/>
      <w:numFmt w:val="bullet"/>
      <w:lvlText w:val="•"/>
      <w:lvlJc w:val="left"/>
      <w:pPr>
        <w:ind w:left="3332" w:hanging="243"/>
      </w:pPr>
      <w:rPr>
        <w:rFonts w:hint="default"/>
        <w:lang w:val="en-US" w:eastAsia="en-US" w:bidi="ar-SA"/>
      </w:rPr>
    </w:lvl>
    <w:lvl w:ilvl="5">
      <w:start w:val="0"/>
      <w:numFmt w:val="bullet"/>
      <w:lvlText w:val="•"/>
      <w:lvlJc w:val="left"/>
      <w:pPr>
        <w:ind w:left="4140" w:hanging="243"/>
      </w:pPr>
      <w:rPr>
        <w:rFonts w:hint="default"/>
        <w:lang w:val="en-US" w:eastAsia="en-US" w:bidi="ar-SA"/>
      </w:rPr>
    </w:lvl>
    <w:lvl w:ilvl="6">
      <w:start w:val="0"/>
      <w:numFmt w:val="bullet"/>
      <w:lvlText w:val="•"/>
      <w:lvlJc w:val="left"/>
      <w:pPr>
        <w:ind w:left="4948" w:hanging="243"/>
      </w:pPr>
      <w:rPr>
        <w:rFonts w:hint="default"/>
        <w:lang w:val="en-US" w:eastAsia="en-US" w:bidi="ar-SA"/>
      </w:rPr>
    </w:lvl>
    <w:lvl w:ilvl="7">
      <w:start w:val="0"/>
      <w:numFmt w:val="bullet"/>
      <w:lvlText w:val="•"/>
      <w:lvlJc w:val="left"/>
      <w:pPr>
        <w:ind w:left="5757" w:hanging="243"/>
      </w:pPr>
      <w:rPr>
        <w:rFonts w:hint="default"/>
        <w:lang w:val="en-US" w:eastAsia="en-US" w:bidi="ar-SA"/>
      </w:rPr>
    </w:lvl>
    <w:lvl w:ilvl="8">
      <w:start w:val="0"/>
      <w:numFmt w:val="bullet"/>
      <w:lvlText w:val="•"/>
      <w:lvlJc w:val="left"/>
      <w:pPr>
        <w:ind w:left="6565" w:hanging="243"/>
      </w:pPr>
      <w:rPr>
        <w:rFonts w:hint="default"/>
        <w:lang w:val="en-US" w:eastAsia="en-US" w:bidi="ar-SA"/>
      </w:rPr>
    </w:lvl>
  </w:abstractNum>
  <w:abstractNum w:abstractNumId="46">
    <w:multiLevelType w:val="hybridMultilevel"/>
    <w:lvl w:ilvl="0">
      <w:start w:val="1"/>
      <w:numFmt w:val="upperLetter"/>
      <w:lvlText w:val="%1."/>
      <w:lvlJc w:val="left"/>
      <w:pPr>
        <w:ind w:left="300" w:hanging="334"/>
        <w:jc w:val="left"/>
      </w:pPr>
      <w:rPr>
        <w:rFonts w:hint="default" w:ascii="Times New Roman" w:hAnsi="Times New Roman" w:eastAsia="Times New Roman" w:cs="Times New Roman"/>
        <w:b/>
        <w:bCs/>
        <w:spacing w:val="-22"/>
        <w:w w:val="99"/>
        <w:sz w:val="24"/>
        <w:szCs w:val="24"/>
        <w:lang w:val="en-US" w:eastAsia="en-US" w:bidi="ar-SA"/>
      </w:rPr>
    </w:lvl>
    <w:lvl w:ilvl="1">
      <w:start w:val="0"/>
      <w:numFmt w:val="bullet"/>
      <w:lvlText w:val="•"/>
      <w:lvlJc w:val="left"/>
      <w:pPr>
        <w:ind w:left="1162" w:hanging="334"/>
      </w:pPr>
      <w:rPr>
        <w:rFonts w:hint="default"/>
        <w:lang w:val="en-US" w:eastAsia="en-US" w:bidi="ar-SA"/>
      </w:rPr>
    </w:lvl>
    <w:lvl w:ilvl="2">
      <w:start w:val="0"/>
      <w:numFmt w:val="bullet"/>
      <w:lvlText w:val="•"/>
      <w:lvlJc w:val="left"/>
      <w:pPr>
        <w:ind w:left="2025" w:hanging="334"/>
      </w:pPr>
      <w:rPr>
        <w:rFonts w:hint="default"/>
        <w:lang w:val="en-US" w:eastAsia="en-US" w:bidi="ar-SA"/>
      </w:rPr>
    </w:lvl>
    <w:lvl w:ilvl="3">
      <w:start w:val="0"/>
      <w:numFmt w:val="bullet"/>
      <w:lvlText w:val="•"/>
      <w:lvlJc w:val="left"/>
      <w:pPr>
        <w:ind w:left="2887" w:hanging="334"/>
      </w:pPr>
      <w:rPr>
        <w:rFonts w:hint="default"/>
        <w:lang w:val="en-US" w:eastAsia="en-US" w:bidi="ar-SA"/>
      </w:rPr>
    </w:lvl>
    <w:lvl w:ilvl="4">
      <w:start w:val="0"/>
      <w:numFmt w:val="bullet"/>
      <w:lvlText w:val="•"/>
      <w:lvlJc w:val="left"/>
      <w:pPr>
        <w:ind w:left="3750" w:hanging="334"/>
      </w:pPr>
      <w:rPr>
        <w:rFonts w:hint="default"/>
        <w:lang w:val="en-US" w:eastAsia="en-US" w:bidi="ar-SA"/>
      </w:rPr>
    </w:lvl>
    <w:lvl w:ilvl="5">
      <w:start w:val="0"/>
      <w:numFmt w:val="bullet"/>
      <w:lvlText w:val="•"/>
      <w:lvlJc w:val="left"/>
      <w:pPr>
        <w:ind w:left="4613" w:hanging="334"/>
      </w:pPr>
      <w:rPr>
        <w:rFonts w:hint="default"/>
        <w:lang w:val="en-US" w:eastAsia="en-US" w:bidi="ar-SA"/>
      </w:rPr>
    </w:lvl>
    <w:lvl w:ilvl="6">
      <w:start w:val="0"/>
      <w:numFmt w:val="bullet"/>
      <w:lvlText w:val="•"/>
      <w:lvlJc w:val="left"/>
      <w:pPr>
        <w:ind w:left="5475" w:hanging="334"/>
      </w:pPr>
      <w:rPr>
        <w:rFonts w:hint="default"/>
        <w:lang w:val="en-US" w:eastAsia="en-US" w:bidi="ar-SA"/>
      </w:rPr>
    </w:lvl>
    <w:lvl w:ilvl="7">
      <w:start w:val="0"/>
      <w:numFmt w:val="bullet"/>
      <w:lvlText w:val="•"/>
      <w:lvlJc w:val="left"/>
      <w:pPr>
        <w:ind w:left="6338" w:hanging="334"/>
      </w:pPr>
      <w:rPr>
        <w:rFonts w:hint="default"/>
        <w:lang w:val="en-US" w:eastAsia="en-US" w:bidi="ar-SA"/>
      </w:rPr>
    </w:lvl>
    <w:lvl w:ilvl="8">
      <w:start w:val="0"/>
      <w:numFmt w:val="bullet"/>
      <w:lvlText w:val="•"/>
      <w:lvlJc w:val="left"/>
      <w:pPr>
        <w:ind w:left="7201" w:hanging="334"/>
      </w:pPr>
      <w:rPr>
        <w:rFonts w:hint="default"/>
        <w:lang w:val="en-US" w:eastAsia="en-US" w:bidi="ar-SA"/>
      </w:rPr>
    </w:lvl>
  </w:abstractNum>
  <w:abstractNum w:abstractNumId="45">
    <w:multiLevelType w:val="hybridMultilevel"/>
    <w:lvl w:ilvl="0">
      <w:start w:val="1"/>
      <w:numFmt w:val="decimal"/>
      <w:lvlText w:val="%1."/>
      <w:lvlJc w:val="left"/>
      <w:pPr>
        <w:ind w:left="540" w:hanging="240"/>
        <w:jc w:val="left"/>
      </w:pPr>
      <w:rPr>
        <w:rFonts w:hint="default" w:ascii="Times New Roman" w:hAnsi="Times New Roman" w:eastAsia="Times New Roman" w:cs="Times New Roman"/>
        <w:b/>
        <w:bCs/>
        <w:spacing w:val="-4"/>
        <w:w w:val="99"/>
        <w:sz w:val="24"/>
        <w:szCs w:val="24"/>
        <w:lang w:val="en-US" w:eastAsia="en-US" w:bidi="ar-SA"/>
      </w:rPr>
    </w:lvl>
    <w:lvl w:ilvl="1">
      <w:start w:val="0"/>
      <w:numFmt w:val="bullet"/>
      <w:lvlText w:val="•"/>
      <w:lvlJc w:val="left"/>
      <w:pPr>
        <w:ind w:left="1378" w:hanging="240"/>
      </w:pPr>
      <w:rPr>
        <w:rFonts w:hint="default"/>
        <w:lang w:val="en-US" w:eastAsia="en-US" w:bidi="ar-SA"/>
      </w:rPr>
    </w:lvl>
    <w:lvl w:ilvl="2">
      <w:start w:val="0"/>
      <w:numFmt w:val="bullet"/>
      <w:lvlText w:val="•"/>
      <w:lvlJc w:val="left"/>
      <w:pPr>
        <w:ind w:left="2217" w:hanging="240"/>
      </w:pPr>
      <w:rPr>
        <w:rFonts w:hint="default"/>
        <w:lang w:val="en-US" w:eastAsia="en-US" w:bidi="ar-SA"/>
      </w:rPr>
    </w:lvl>
    <w:lvl w:ilvl="3">
      <w:start w:val="0"/>
      <w:numFmt w:val="bullet"/>
      <w:lvlText w:val="•"/>
      <w:lvlJc w:val="left"/>
      <w:pPr>
        <w:ind w:left="3055" w:hanging="240"/>
      </w:pPr>
      <w:rPr>
        <w:rFonts w:hint="default"/>
        <w:lang w:val="en-US" w:eastAsia="en-US" w:bidi="ar-SA"/>
      </w:rPr>
    </w:lvl>
    <w:lvl w:ilvl="4">
      <w:start w:val="0"/>
      <w:numFmt w:val="bullet"/>
      <w:lvlText w:val="•"/>
      <w:lvlJc w:val="left"/>
      <w:pPr>
        <w:ind w:left="3894" w:hanging="240"/>
      </w:pPr>
      <w:rPr>
        <w:rFonts w:hint="default"/>
        <w:lang w:val="en-US" w:eastAsia="en-US" w:bidi="ar-SA"/>
      </w:rPr>
    </w:lvl>
    <w:lvl w:ilvl="5">
      <w:start w:val="0"/>
      <w:numFmt w:val="bullet"/>
      <w:lvlText w:val="•"/>
      <w:lvlJc w:val="left"/>
      <w:pPr>
        <w:ind w:left="4733" w:hanging="240"/>
      </w:pPr>
      <w:rPr>
        <w:rFonts w:hint="default"/>
        <w:lang w:val="en-US" w:eastAsia="en-US" w:bidi="ar-SA"/>
      </w:rPr>
    </w:lvl>
    <w:lvl w:ilvl="6">
      <w:start w:val="0"/>
      <w:numFmt w:val="bullet"/>
      <w:lvlText w:val="•"/>
      <w:lvlJc w:val="left"/>
      <w:pPr>
        <w:ind w:left="5571" w:hanging="240"/>
      </w:pPr>
      <w:rPr>
        <w:rFonts w:hint="default"/>
        <w:lang w:val="en-US" w:eastAsia="en-US" w:bidi="ar-SA"/>
      </w:rPr>
    </w:lvl>
    <w:lvl w:ilvl="7">
      <w:start w:val="0"/>
      <w:numFmt w:val="bullet"/>
      <w:lvlText w:val="•"/>
      <w:lvlJc w:val="left"/>
      <w:pPr>
        <w:ind w:left="6410" w:hanging="240"/>
      </w:pPr>
      <w:rPr>
        <w:rFonts w:hint="default"/>
        <w:lang w:val="en-US" w:eastAsia="en-US" w:bidi="ar-SA"/>
      </w:rPr>
    </w:lvl>
    <w:lvl w:ilvl="8">
      <w:start w:val="0"/>
      <w:numFmt w:val="bullet"/>
      <w:lvlText w:val="•"/>
      <w:lvlJc w:val="left"/>
      <w:pPr>
        <w:ind w:left="7249" w:hanging="240"/>
      </w:pPr>
      <w:rPr>
        <w:rFonts w:hint="default"/>
        <w:lang w:val="en-US" w:eastAsia="en-US" w:bidi="ar-SA"/>
      </w:rPr>
    </w:lvl>
  </w:abstractNum>
  <w:abstractNum w:abstractNumId="44">
    <w:multiLevelType w:val="hybridMultilevel"/>
    <w:lvl w:ilvl="0">
      <w:start w:val="1"/>
      <w:numFmt w:val="decimal"/>
      <w:lvlText w:val="%1."/>
      <w:lvlJc w:val="left"/>
      <w:pPr>
        <w:ind w:left="300" w:hanging="255"/>
        <w:jc w:val="left"/>
      </w:pPr>
      <w:rPr>
        <w:rFonts w:hint="default" w:ascii="Times New Roman" w:hAnsi="Times New Roman" w:eastAsia="Times New Roman" w:cs="Times New Roman"/>
        <w:b/>
        <w:bCs/>
        <w:w w:val="100"/>
        <w:sz w:val="24"/>
        <w:szCs w:val="24"/>
        <w:lang w:val="en-US" w:eastAsia="en-US" w:bidi="ar-SA"/>
      </w:rPr>
    </w:lvl>
    <w:lvl w:ilvl="1">
      <w:start w:val="0"/>
      <w:numFmt w:val="bullet"/>
      <w:lvlText w:val="•"/>
      <w:lvlJc w:val="left"/>
      <w:pPr>
        <w:ind w:left="1162" w:hanging="255"/>
      </w:pPr>
      <w:rPr>
        <w:rFonts w:hint="default"/>
        <w:lang w:val="en-US" w:eastAsia="en-US" w:bidi="ar-SA"/>
      </w:rPr>
    </w:lvl>
    <w:lvl w:ilvl="2">
      <w:start w:val="0"/>
      <w:numFmt w:val="bullet"/>
      <w:lvlText w:val="•"/>
      <w:lvlJc w:val="left"/>
      <w:pPr>
        <w:ind w:left="2025" w:hanging="255"/>
      </w:pPr>
      <w:rPr>
        <w:rFonts w:hint="default"/>
        <w:lang w:val="en-US" w:eastAsia="en-US" w:bidi="ar-SA"/>
      </w:rPr>
    </w:lvl>
    <w:lvl w:ilvl="3">
      <w:start w:val="0"/>
      <w:numFmt w:val="bullet"/>
      <w:lvlText w:val="•"/>
      <w:lvlJc w:val="left"/>
      <w:pPr>
        <w:ind w:left="2887" w:hanging="255"/>
      </w:pPr>
      <w:rPr>
        <w:rFonts w:hint="default"/>
        <w:lang w:val="en-US" w:eastAsia="en-US" w:bidi="ar-SA"/>
      </w:rPr>
    </w:lvl>
    <w:lvl w:ilvl="4">
      <w:start w:val="0"/>
      <w:numFmt w:val="bullet"/>
      <w:lvlText w:val="•"/>
      <w:lvlJc w:val="left"/>
      <w:pPr>
        <w:ind w:left="3750" w:hanging="255"/>
      </w:pPr>
      <w:rPr>
        <w:rFonts w:hint="default"/>
        <w:lang w:val="en-US" w:eastAsia="en-US" w:bidi="ar-SA"/>
      </w:rPr>
    </w:lvl>
    <w:lvl w:ilvl="5">
      <w:start w:val="0"/>
      <w:numFmt w:val="bullet"/>
      <w:lvlText w:val="•"/>
      <w:lvlJc w:val="left"/>
      <w:pPr>
        <w:ind w:left="4613" w:hanging="255"/>
      </w:pPr>
      <w:rPr>
        <w:rFonts w:hint="default"/>
        <w:lang w:val="en-US" w:eastAsia="en-US" w:bidi="ar-SA"/>
      </w:rPr>
    </w:lvl>
    <w:lvl w:ilvl="6">
      <w:start w:val="0"/>
      <w:numFmt w:val="bullet"/>
      <w:lvlText w:val="•"/>
      <w:lvlJc w:val="left"/>
      <w:pPr>
        <w:ind w:left="5475" w:hanging="255"/>
      </w:pPr>
      <w:rPr>
        <w:rFonts w:hint="default"/>
        <w:lang w:val="en-US" w:eastAsia="en-US" w:bidi="ar-SA"/>
      </w:rPr>
    </w:lvl>
    <w:lvl w:ilvl="7">
      <w:start w:val="0"/>
      <w:numFmt w:val="bullet"/>
      <w:lvlText w:val="•"/>
      <w:lvlJc w:val="left"/>
      <w:pPr>
        <w:ind w:left="6338" w:hanging="255"/>
      </w:pPr>
      <w:rPr>
        <w:rFonts w:hint="default"/>
        <w:lang w:val="en-US" w:eastAsia="en-US" w:bidi="ar-SA"/>
      </w:rPr>
    </w:lvl>
    <w:lvl w:ilvl="8">
      <w:start w:val="0"/>
      <w:numFmt w:val="bullet"/>
      <w:lvlText w:val="•"/>
      <w:lvlJc w:val="left"/>
      <w:pPr>
        <w:ind w:left="7201" w:hanging="255"/>
      </w:pPr>
      <w:rPr>
        <w:rFonts w:hint="default"/>
        <w:lang w:val="en-US" w:eastAsia="en-US" w:bidi="ar-SA"/>
      </w:rPr>
    </w:lvl>
  </w:abstractNum>
  <w:abstractNum w:abstractNumId="43">
    <w:multiLevelType w:val="hybridMultilevel"/>
    <w:lvl w:ilvl="0">
      <w:start w:val="1"/>
      <w:numFmt w:val="decimal"/>
      <w:lvlText w:val="%1."/>
      <w:lvlJc w:val="left"/>
      <w:pPr>
        <w:ind w:left="540" w:hanging="240"/>
        <w:jc w:val="left"/>
      </w:pPr>
      <w:rPr>
        <w:rFonts w:hint="default" w:ascii="Times New Roman" w:hAnsi="Times New Roman" w:eastAsia="Times New Roman" w:cs="Times New Roman"/>
        <w:spacing w:val="-8"/>
        <w:w w:val="99"/>
        <w:sz w:val="24"/>
        <w:szCs w:val="24"/>
        <w:lang w:val="en-US" w:eastAsia="en-US" w:bidi="ar-SA"/>
      </w:rPr>
    </w:lvl>
    <w:lvl w:ilvl="1">
      <w:start w:val="0"/>
      <w:numFmt w:val="bullet"/>
      <w:lvlText w:val="•"/>
      <w:lvlJc w:val="left"/>
      <w:pPr>
        <w:ind w:left="1378" w:hanging="240"/>
      </w:pPr>
      <w:rPr>
        <w:rFonts w:hint="default"/>
        <w:lang w:val="en-US" w:eastAsia="en-US" w:bidi="ar-SA"/>
      </w:rPr>
    </w:lvl>
    <w:lvl w:ilvl="2">
      <w:start w:val="0"/>
      <w:numFmt w:val="bullet"/>
      <w:lvlText w:val="•"/>
      <w:lvlJc w:val="left"/>
      <w:pPr>
        <w:ind w:left="2217" w:hanging="240"/>
      </w:pPr>
      <w:rPr>
        <w:rFonts w:hint="default"/>
        <w:lang w:val="en-US" w:eastAsia="en-US" w:bidi="ar-SA"/>
      </w:rPr>
    </w:lvl>
    <w:lvl w:ilvl="3">
      <w:start w:val="0"/>
      <w:numFmt w:val="bullet"/>
      <w:lvlText w:val="•"/>
      <w:lvlJc w:val="left"/>
      <w:pPr>
        <w:ind w:left="3055" w:hanging="240"/>
      </w:pPr>
      <w:rPr>
        <w:rFonts w:hint="default"/>
        <w:lang w:val="en-US" w:eastAsia="en-US" w:bidi="ar-SA"/>
      </w:rPr>
    </w:lvl>
    <w:lvl w:ilvl="4">
      <w:start w:val="0"/>
      <w:numFmt w:val="bullet"/>
      <w:lvlText w:val="•"/>
      <w:lvlJc w:val="left"/>
      <w:pPr>
        <w:ind w:left="3894" w:hanging="240"/>
      </w:pPr>
      <w:rPr>
        <w:rFonts w:hint="default"/>
        <w:lang w:val="en-US" w:eastAsia="en-US" w:bidi="ar-SA"/>
      </w:rPr>
    </w:lvl>
    <w:lvl w:ilvl="5">
      <w:start w:val="0"/>
      <w:numFmt w:val="bullet"/>
      <w:lvlText w:val="•"/>
      <w:lvlJc w:val="left"/>
      <w:pPr>
        <w:ind w:left="4733" w:hanging="240"/>
      </w:pPr>
      <w:rPr>
        <w:rFonts w:hint="default"/>
        <w:lang w:val="en-US" w:eastAsia="en-US" w:bidi="ar-SA"/>
      </w:rPr>
    </w:lvl>
    <w:lvl w:ilvl="6">
      <w:start w:val="0"/>
      <w:numFmt w:val="bullet"/>
      <w:lvlText w:val="•"/>
      <w:lvlJc w:val="left"/>
      <w:pPr>
        <w:ind w:left="5571" w:hanging="240"/>
      </w:pPr>
      <w:rPr>
        <w:rFonts w:hint="default"/>
        <w:lang w:val="en-US" w:eastAsia="en-US" w:bidi="ar-SA"/>
      </w:rPr>
    </w:lvl>
    <w:lvl w:ilvl="7">
      <w:start w:val="0"/>
      <w:numFmt w:val="bullet"/>
      <w:lvlText w:val="•"/>
      <w:lvlJc w:val="left"/>
      <w:pPr>
        <w:ind w:left="6410" w:hanging="240"/>
      </w:pPr>
      <w:rPr>
        <w:rFonts w:hint="default"/>
        <w:lang w:val="en-US" w:eastAsia="en-US" w:bidi="ar-SA"/>
      </w:rPr>
    </w:lvl>
    <w:lvl w:ilvl="8">
      <w:start w:val="0"/>
      <w:numFmt w:val="bullet"/>
      <w:lvlText w:val="•"/>
      <w:lvlJc w:val="left"/>
      <w:pPr>
        <w:ind w:left="7249" w:hanging="240"/>
      </w:pPr>
      <w:rPr>
        <w:rFonts w:hint="default"/>
        <w:lang w:val="en-US" w:eastAsia="en-US" w:bidi="ar-SA"/>
      </w:rPr>
    </w:lvl>
  </w:abstractNum>
  <w:abstractNum w:abstractNumId="42">
    <w:multiLevelType w:val="hybridMultilevel"/>
    <w:lvl w:ilvl="0">
      <w:start w:val="1"/>
      <w:numFmt w:val="decimal"/>
      <w:lvlText w:val="%1."/>
      <w:lvlJc w:val="left"/>
      <w:pPr>
        <w:ind w:left="300" w:hanging="260"/>
        <w:jc w:val="left"/>
      </w:pPr>
      <w:rPr>
        <w:rFonts w:hint="default" w:ascii="Times New Roman" w:hAnsi="Times New Roman" w:eastAsia="Times New Roman" w:cs="Times New Roman"/>
        <w:b/>
        <w:bCs/>
        <w:w w:val="100"/>
        <w:sz w:val="24"/>
        <w:szCs w:val="24"/>
        <w:lang w:val="en-US" w:eastAsia="en-US" w:bidi="ar-SA"/>
      </w:rPr>
    </w:lvl>
    <w:lvl w:ilvl="1">
      <w:start w:val="1"/>
      <w:numFmt w:val="upperLetter"/>
      <w:lvlText w:val="%2."/>
      <w:lvlJc w:val="left"/>
      <w:pPr>
        <w:ind w:left="300" w:hanging="303"/>
        <w:jc w:val="left"/>
      </w:pPr>
      <w:rPr>
        <w:rFonts w:hint="default" w:ascii="Times New Roman" w:hAnsi="Times New Roman" w:eastAsia="Times New Roman" w:cs="Times New Roman"/>
        <w:b/>
        <w:bCs/>
        <w:spacing w:val="-1"/>
        <w:w w:val="99"/>
        <w:sz w:val="24"/>
        <w:szCs w:val="24"/>
        <w:lang w:val="en-US" w:eastAsia="en-US" w:bidi="ar-SA"/>
      </w:rPr>
    </w:lvl>
    <w:lvl w:ilvl="2">
      <w:start w:val="0"/>
      <w:numFmt w:val="bullet"/>
      <w:lvlText w:val="•"/>
      <w:lvlJc w:val="left"/>
      <w:pPr>
        <w:ind w:left="2025" w:hanging="303"/>
      </w:pPr>
      <w:rPr>
        <w:rFonts w:hint="default"/>
        <w:lang w:val="en-US" w:eastAsia="en-US" w:bidi="ar-SA"/>
      </w:rPr>
    </w:lvl>
    <w:lvl w:ilvl="3">
      <w:start w:val="0"/>
      <w:numFmt w:val="bullet"/>
      <w:lvlText w:val="•"/>
      <w:lvlJc w:val="left"/>
      <w:pPr>
        <w:ind w:left="2887" w:hanging="303"/>
      </w:pPr>
      <w:rPr>
        <w:rFonts w:hint="default"/>
        <w:lang w:val="en-US" w:eastAsia="en-US" w:bidi="ar-SA"/>
      </w:rPr>
    </w:lvl>
    <w:lvl w:ilvl="4">
      <w:start w:val="0"/>
      <w:numFmt w:val="bullet"/>
      <w:lvlText w:val="•"/>
      <w:lvlJc w:val="left"/>
      <w:pPr>
        <w:ind w:left="3750" w:hanging="303"/>
      </w:pPr>
      <w:rPr>
        <w:rFonts w:hint="default"/>
        <w:lang w:val="en-US" w:eastAsia="en-US" w:bidi="ar-SA"/>
      </w:rPr>
    </w:lvl>
    <w:lvl w:ilvl="5">
      <w:start w:val="0"/>
      <w:numFmt w:val="bullet"/>
      <w:lvlText w:val="•"/>
      <w:lvlJc w:val="left"/>
      <w:pPr>
        <w:ind w:left="4613" w:hanging="303"/>
      </w:pPr>
      <w:rPr>
        <w:rFonts w:hint="default"/>
        <w:lang w:val="en-US" w:eastAsia="en-US" w:bidi="ar-SA"/>
      </w:rPr>
    </w:lvl>
    <w:lvl w:ilvl="6">
      <w:start w:val="0"/>
      <w:numFmt w:val="bullet"/>
      <w:lvlText w:val="•"/>
      <w:lvlJc w:val="left"/>
      <w:pPr>
        <w:ind w:left="5475" w:hanging="303"/>
      </w:pPr>
      <w:rPr>
        <w:rFonts w:hint="default"/>
        <w:lang w:val="en-US" w:eastAsia="en-US" w:bidi="ar-SA"/>
      </w:rPr>
    </w:lvl>
    <w:lvl w:ilvl="7">
      <w:start w:val="0"/>
      <w:numFmt w:val="bullet"/>
      <w:lvlText w:val="•"/>
      <w:lvlJc w:val="left"/>
      <w:pPr>
        <w:ind w:left="6338" w:hanging="303"/>
      </w:pPr>
      <w:rPr>
        <w:rFonts w:hint="default"/>
        <w:lang w:val="en-US" w:eastAsia="en-US" w:bidi="ar-SA"/>
      </w:rPr>
    </w:lvl>
    <w:lvl w:ilvl="8">
      <w:start w:val="0"/>
      <w:numFmt w:val="bullet"/>
      <w:lvlText w:val="•"/>
      <w:lvlJc w:val="left"/>
      <w:pPr>
        <w:ind w:left="7201" w:hanging="303"/>
      </w:pPr>
      <w:rPr>
        <w:rFonts w:hint="default"/>
        <w:lang w:val="en-US" w:eastAsia="en-US" w:bidi="ar-SA"/>
      </w:rPr>
    </w:lvl>
  </w:abstractNum>
  <w:abstractNum w:abstractNumId="41">
    <w:multiLevelType w:val="hybridMultilevel"/>
    <w:lvl w:ilvl="0">
      <w:start w:val="1"/>
      <w:numFmt w:val="decimal"/>
      <w:lvlText w:val="%1."/>
      <w:lvlJc w:val="left"/>
      <w:pPr>
        <w:ind w:left="300" w:hanging="248"/>
        <w:jc w:val="left"/>
      </w:pPr>
      <w:rPr>
        <w:rFonts w:hint="default" w:ascii="Times New Roman" w:hAnsi="Times New Roman" w:eastAsia="Times New Roman" w:cs="Times New Roman"/>
        <w:b/>
        <w:bCs/>
        <w:w w:val="100"/>
        <w:sz w:val="24"/>
        <w:szCs w:val="24"/>
        <w:lang w:val="en-US" w:eastAsia="en-US" w:bidi="ar-SA"/>
      </w:rPr>
    </w:lvl>
    <w:lvl w:ilvl="1">
      <w:start w:val="0"/>
      <w:numFmt w:val="bullet"/>
      <w:lvlText w:val="•"/>
      <w:lvlJc w:val="left"/>
      <w:pPr>
        <w:ind w:left="1162" w:hanging="248"/>
      </w:pPr>
      <w:rPr>
        <w:rFonts w:hint="default"/>
        <w:lang w:val="en-US" w:eastAsia="en-US" w:bidi="ar-SA"/>
      </w:rPr>
    </w:lvl>
    <w:lvl w:ilvl="2">
      <w:start w:val="0"/>
      <w:numFmt w:val="bullet"/>
      <w:lvlText w:val="•"/>
      <w:lvlJc w:val="left"/>
      <w:pPr>
        <w:ind w:left="2025" w:hanging="248"/>
      </w:pPr>
      <w:rPr>
        <w:rFonts w:hint="default"/>
        <w:lang w:val="en-US" w:eastAsia="en-US" w:bidi="ar-SA"/>
      </w:rPr>
    </w:lvl>
    <w:lvl w:ilvl="3">
      <w:start w:val="0"/>
      <w:numFmt w:val="bullet"/>
      <w:lvlText w:val="•"/>
      <w:lvlJc w:val="left"/>
      <w:pPr>
        <w:ind w:left="2887" w:hanging="248"/>
      </w:pPr>
      <w:rPr>
        <w:rFonts w:hint="default"/>
        <w:lang w:val="en-US" w:eastAsia="en-US" w:bidi="ar-SA"/>
      </w:rPr>
    </w:lvl>
    <w:lvl w:ilvl="4">
      <w:start w:val="0"/>
      <w:numFmt w:val="bullet"/>
      <w:lvlText w:val="•"/>
      <w:lvlJc w:val="left"/>
      <w:pPr>
        <w:ind w:left="3750" w:hanging="248"/>
      </w:pPr>
      <w:rPr>
        <w:rFonts w:hint="default"/>
        <w:lang w:val="en-US" w:eastAsia="en-US" w:bidi="ar-SA"/>
      </w:rPr>
    </w:lvl>
    <w:lvl w:ilvl="5">
      <w:start w:val="0"/>
      <w:numFmt w:val="bullet"/>
      <w:lvlText w:val="•"/>
      <w:lvlJc w:val="left"/>
      <w:pPr>
        <w:ind w:left="4613" w:hanging="248"/>
      </w:pPr>
      <w:rPr>
        <w:rFonts w:hint="default"/>
        <w:lang w:val="en-US" w:eastAsia="en-US" w:bidi="ar-SA"/>
      </w:rPr>
    </w:lvl>
    <w:lvl w:ilvl="6">
      <w:start w:val="0"/>
      <w:numFmt w:val="bullet"/>
      <w:lvlText w:val="•"/>
      <w:lvlJc w:val="left"/>
      <w:pPr>
        <w:ind w:left="5475" w:hanging="248"/>
      </w:pPr>
      <w:rPr>
        <w:rFonts w:hint="default"/>
        <w:lang w:val="en-US" w:eastAsia="en-US" w:bidi="ar-SA"/>
      </w:rPr>
    </w:lvl>
    <w:lvl w:ilvl="7">
      <w:start w:val="0"/>
      <w:numFmt w:val="bullet"/>
      <w:lvlText w:val="•"/>
      <w:lvlJc w:val="left"/>
      <w:pPr>
        <w:ind w:left="6338" w:hanging="248"/>
      </w:pPr>
      <w:rPr>
        <w:rFonts w:hint="default"/>
        <w:lang w:val="en-US" w:eastAsia="en-US" w:bidi="ar-SA"/>
      </w:rPr>
    </w:lvl>
    <w:lvl w:ilvl="8">
      <w:start w:val="0"/>
      <w:numFmt w:val="bullet"/>
      <w:lvlText w:val="•"/>
      <w:lvlJc w:val="left"/>
      <w:pPr>
        <w:ind w:left="7201" w:hanging="248"/>
      </w:pPr>
      <w:rPr>
        <w:rFonts w:hint="default"/>
        <w:lang w:val="en-US" w:eastAsia="en-US" w:bidi="ar-SA"/>
      </w:rPr>
    </w:lvl>
  </w:abstractNum>
  <w:abstractNum w:abstractNumId="40">
    <w:multiLevelType w:val="hybridMultilevel"/>
    <w:lvl w:ilvl="0">
      <w:start w:val="1"/>
      <w:numFmt w:val="decimal"/>
      <w:lvlText w:val="%1."/>
      <w:lvlJc w:val="left"/>
      <w:pPr>
        <w:ind w:left="540" w:hanging="240"/>
        <w:jc w:val="left"/>
      </w:pPr>
      <w:rPr>
        <w:rFonts w:hint="default" w:ascii="Times New Roman" w:hAnsi="Times New Roman" w:eastAsia="Times New Roman" w:cs="Times New Roman"/>
        <w:spacing w:val="-5"/>
        <w:w w:val="99"/>
        <w:sz w:val="24"/>
        <w:szCs w:val="24"/>
        <w:lang w:val="en-US" w:eastAsia="en-US" w:bidi="ar-SA"/>
      </w:rPr>
    </w:lvl>
    <w:lvl w:ilvl="1">
      <w:start w:val="0"/>
      <w:numFmt w:val="bullet"/>
      <w:lvlText w:val="•"/>
      <w:lvlJc w:val="left"/>
      <w:pPr>
        <w:ind w:left="1378" w:hanging="240"/>
      </w:pPr>
      <w:rPr>
        <w:rFonts w:hint="default"/>
        <w:lang w:val="en-US" w:eastAsia="en-US" w:bidi="ar-SA"/>
      </w:rPr>
    </w:lvl>
    <w:lvl w:ilvl="2">
      <w:start w:val="0"/>
      <w:numFmt w:val="bullet"/>
      <w:lvlText w:val="•"/>
      <w:lvlJc w:val="left"/>
      <w:pPr>
        <w:ind w:left="2217" w:hanging="240"/>
      </w:pPr>
      <w:rPr>
        <w:rFonts w:hint="default"/>
        <w:lang w:val="en-US" w:eastAsia="en-US" w:bidi="ar-SA"/>
      </w:rPr>
    </w:lvl>
    <w:lvl w:ilvl="3">
      <w:start w:val="0"/>
      <w:numFmt w:val="bullet"/>
      <w:lvlText w:val="•"/>
      <w:lvlJc w:val="left"/>
      <w:pPr>
        <w:ind w:left="3055" w:hanging="240"/>
      </w:pPr>
      <w:rPr>
        <w:rFonts w:hint="default"/>
        <w:lang w:val="en-US" w:eastAsia="en-US" w:bidi="ar-SA"/>
      </w:rPr>
    </w:lvl>
    <w:lvl w:ilvl="4">
      <w:start w:val="0"/>
      <w:numFmt w:val="bullet"/>
      <w:lvlText w:val="•"/>
      <w:lvlJc w:val="left"/>
      <w:pPr>
        <w:ind w:left="3894" w:hanging="240"/>
      </w:pPr>
      <w:rPr>
        <w:rFonts w:hint="default"/>
        <w:lang w:val="en-US" w:eastAsia="en-US" w:bidi="ar-SA"/>
      </w:rPr>
    </w:lvl>
    <w:lvl w:ilvl="5">
      <w:start w:val="0"/>
      <w:numFmt w:val="bullet"/>
      <w:lvlText w:val="•"/>
      <w:lvlJc w:val="left"/>
      <w:pPr>
        <w:ind w:left="4733" w:hanging="240"/>
      </w:pPr>
      <w:rPr>
        <w:rFonts w:hint="default"/>
        <w:lang w:val="en-US" w:eastAsia="en-US" w:bidi="ar-SA"/>
      </w:rPr>
    </w:lvl>
    <w:lvl w:ilvl="6">
      <w:start w:val="0"/>
      <w:numFmt w:val="bullet"/>
      <w:lvlText w:val="•"/>
      <w:lvlJc w:val="left"/>
      <w:pPr>
        <w:ind w:left="5571" w:hanging="240"/>
      </w:pPr>
      <w:rPr>
        <w:rFonts w:hint="default"/>
        <w:lang w:val="en-US" w:eastAsia="en-US" w:bidi="ar-SA"/>
      </w:rPr>
    </w:lvl>
    <w:lvl w:ilvl="7">
      <w:start w:val="0"/>
      <w:numFmt w:val="bullet"/>
      <w:lvlText w:val="•"/>
      <w:lvlJc w:val="left"/>
      <w:pPr>
        <w:ind w:left="6410" w:hanging="240"/>
      </w:pPr>
      <w:rPr>
        <w:rFonts w:hint="default"/>
        <w:lang w:val="en-US" w:eastAsia="en-US" w:bidi="ar-SA"/>
      </w:rPr>
    </w:lvl>
    <w:lvl w:ilvl="8">
      <w:start w:val="0"/>
      <w:numFmt w:val="bullet"/>
      <w:lvlText w:val="•"/>
      <w:lvlJc w:val="left"/>
      <w:pPr>
        <w:ind w:left="7249" w:hanging="240"/>
      </w:pPr>
      <w:rPr>
        <w:rFonts w:hint="default"/>
        <w:lang w:val="en-US" w:eastAsia="en-US" w:bidi="ar-SA"/>
      </w:rPr>
    </w:lvl>
  </w:abstractNum>
  <w:abstractNum w:abstractNumId="39">
    <w:multiLevelType w:val="hybridMultilevel"/>
    <w:lvl w:ilvl="0">
      <w:start w:val="1"/>
      <w:numFmt w:val="decimal"/>
      <w:lvlText w:val="%1."/>
      <w:lvlJc w:val="left"/>
      <w:pPr>
        <w:ind w:left="540" w:hanging="240"/>
        <w:jc w:val="left"/>
      </w:pPr>
      <w:rPr>
        <w:rFonts w:hint="default" w:ascii="Times New Roman" w:hAnsi="Times New Roman" w:eastAsia="Times New Roman" w:cs="Times New Roman"/>
        <w:b/>
        <w:bCs/>
        <w:spacing w:val="-4"/>
        <w:w w:val="99"/>
        <w:sz w:val="24"/>
        <w:szCs w:val="24"/>
        <w:lang w:val="en-US" w:eastAsia="en-US" w:bidi="ar-SA"/>
      </w:rPr>
    </w:lvl>
    <w:lvl w:ilvl="1">
      <w:start w:val="0"/>
      <w:numFmt w:val="bullet"/>
      <w:lvlText w:val="•"/>
      <w:lvlJc w:val="left"/>
      <w:pPr>
        <w:ind w:left="1378" w:hanging="240"/>
      </w:pPr>
      <w:rPr>
        <w:rFonts w:hint="default"/>
        <w:lang w:val="en-US" w:eastAsia="en-US" w:bidi="ar-SA"/>
      </w:rPr>
    </w:lvl>
    <w:lvl w:ilvl="2">
      <w:start w:val="0"/>
      <w:numFmt w:val="bullet"/>
      <w:lvlText w:val="•"/>
      <w:lvlJc w:val="left"/>
      <w:pPr>
        <w:ind w:left="2217" w:hanging="240"/>
      </w:pPr>
      <w:rPr>
        <w:rFonts w:hint="default"/>
        <w:lang w:val="en-US" w:eastAsia="en-US" w:bidi="ar-SA"/>
      </w:rPr>
    </w:lvl>
    <w:lvl w:ilvl="3">
      <w:start w:val="0"/>
      <w:numFmt w:val="bullet"/>
      <w:lvlText w:val="•"/>
      <w:lvlJc w:val="left"/>
      <w:pPr>
        <w:ind w:left="3055" w:hanging="240"/>
      </w:pPr>
      <w:rPr>
        <w:rFonts w:hint="default"/>
        <w:lang w:val="en-US" w:eastAsia="en-US" w:bidi="ar-SA"/>
      </w:rPr>
    </w:lvl>
    <w:lvl w:ilvl="4">
      <w:start w:val="0"/>
      <w:numFmt w:val="bullet"/>
      <w:lvlText w:val="•"/>
      <w:lvlJc w:val="left"/>
      <w:pPr>
        <w:ind w:left="3894" w:hanging="240"/>
      </w:pPr>
      <w:rPr>
        <w:rFonts w:hint="default"/>
        <w:lang w:val="en-US" w:eastAsia="en-US" w:bidi="ar-SA"/>
      </w:rPr>
    </w:lvl>
    <w:lvl w:ilvl="5">
      <w:start w:val="0"/>
      <w:numFmt w:val="bullet"/>
      <w:lvlText w:val="•"/>
      <w:lvlJc w:val="left"/>
      <w:pPr>
        <w:ind w:left="4733" w:hanging="240"/>
      </w:pPr>
      <w:rPr>
        <w:rFonts w:hint="default"/>
        <w:lang w:val="en-US" w:eastAsia="en-US" w:bidi="ar-SA"/>
      </w:rPr>
    </w:lvl>
    <w:lvl w:ilvl="6">
      <w:start w:val="0"/>
      <w:numFmt w:val="bullet"/>
      <w:lvlText w:val="•"/>
      <w:lvlJc w:val="left"/>
      <w:pPr>
        <w:ind w:left="5571" w:hanging="240"/>
      </w:pPr>
      <w:rPr>
        <w:rFonts w:hint="default"/>
        <w:lang w:val="en-US" w:eastAsia="en-US" w:bidi="ar-SA"/>
      </w:rPr>
    </w:lvl>
    <w:lvl w:ilvl="7">
      <w:start w:val="0"/>
      <w:numFmt w:val="bullet"/>
      <w:lvlText w:val="•"/>
      <w:lvlJc w:val="left"/>
      <w:pPr>
        <w:ind w:left="6410" w:hanging="240"/>
      </w:pPr>
      <w:rPr>
        <w:rFonts w:hint="default"/>
        <w:lang w:val="en-US" w:eastAsia="en-US" w:bidi="ar-SA"/>
      </w:rPr>
    </w:lvl>
    <w:lvl w:ilvl="8">
      <w:start w:val="0"/>
      <w:numFmt w:val="bullet"/>
      <w:lvlText w:val="•"/>
      <w:lvlJc w:val="left"/>
      <w:pPr>
        <w:ind w:left="7249" w:hanging="240"/>
      </w:pPr>
      <w:rPr>
        <w:rFonts w:hint="default"/>
        <w:lang w:val="en-US" w:eastAsia="en-US" w:bidi="ar-SA"/>
      </w:rPr>
    </w:lvl>
  </w:abstractNum>
  <w:abstractNum w:abstractNumId="38">
    <w:multiLevelType w:val="hybridMultilevel"/>
    <w:lvl w:ilvl="0">
      <w:start w:val="1"/>
      <w:numFmt w:val="decimal"/>
      <w:lvlText w:val="%1."/>
      <w:lvlJc w:val="left"/>
      <w:pPr>
        <w:ind w:left="300" w:hanging="276"/>
        <w:jc w:val="left"/>
      </w:pPr>
      <w:rPr>
        <w:rFonts w:hint="default" w:ascii="Times New Roman" w:hAnsi="Times New Roman" w:eastAsia="Times New Roman" w:cs="Times New Roman"/>
        <w:b/>
        <w:bCs/>
        <w:spacing w:val="-29"/>
        <w:w w:val="99"/>
        <w:sz w:val="24"/>
        <w:szCs w:val="24"/>
        <w:lang w:val="en-US" w:eastAsia="en-US" w:bidi="ar-SA"/>
      </w:rPr>
    </w:lvl>
    <w:lvl w:ilvl="1">
      <w:start w:val="1"/>
      <w:numFmt w:val="upperLetter"/>
      <w:lvlText w:val="%2."/>
      <w:lvlJc w:val="left"/>
      <w:pPr>
        <w:ind w:left="300" w:hanging="327"/>
        <w:jc w:val="left"/>
      </w:pPr>
      <w:rPr>
        <w:rFonts w:hint="default" w:ascii="Times New Roman" w:hAnsi="Times New Roman" w:eastAsia="Times New Roman" w:cs="Times New Roman"/>
        <w:b/>
        <w:bCs/>
        <w:spacing w:val="-1"/>
        <w:w w:val="99"/>
        <w:sz w:val="24"/>
        <w:szCs w:val="24"/>
        <w:lang w:val="en-US" w:eastAsia="en-US" w:bidi="ar-SA"/>
      </w:rPr>
    </w:lvl>
    <w:lvl w:ilvl="2">
      <w:start w:val="1"/>
      <w:numFmt w:val="decimal"/>
      <w:lvlText w:val="%3."/>
      <w:lvlJc w:val="left"/>
      <w:pPr>
        <w:ind w:left="300" w:hanging="257"/>
        <w:jc w:val="left"/>
      </w:pPr>
      <w:rPr>
        <w:rFonts w:hint="default" w:ascii="Times New Roman" w:hAnsi="Times New Roman" w:eastAsia="Times New Roman" w:cs="Times New Roman"/>
        <w:b/>
        <w:bCs/>
        <w:w w:val="100"/>
        <w:sz w:val="24"/>
        <w:szCs w:val="24"/>
        <w:lang w:val="en-US" w:eastAsia="en-US" w:bidi="ar-SA"/>
      </w:rPr>
    </w:lvl>
    <w:lvl w:ilvl="3">
      <w:start w:val="0"/>
      <w:numFmt w:val="bullet"/>
      <w:lvlText w:val="•"/>
      <w:lvlJc w:val="left"/>
      <w:pPr>
        <w:ind w:left="2887" w:hanging="257"/>
      </w:pPr>
      <w:rPr>
        <w:rFonts w:hint="default"/>
        <w:lang w:val="en-US" w:eastAsia="en-US" w:bidi="ar-SA"/>
      </w:rPr>
    </w:lvl>
    <w:lvl w:ilvl="4">
      <w:start w:val="0"/>
      <w:numFmt w:val="bullet"/>
      <w:lvlText w:val="•"/>
      <w:lvlJc w:val="left"/>
      <w:pPr>
        <w:ind w:left="3750" w:hanging="257"/>
      </w:pPr>
      <w:rPr>
        <w:rFonts w:hint="default"/>
        <w:lang w:val="en-US" w:eastAsia="en-US" w:bidi="ar-SA"/>
      </w:rPr>
    </w:lvl>
    <w:lvl w:ilvl="5">
      <w:start w:val="0"/>
      <w:numFmt w:val="bullet"/>
      <w:lvlText w:val="•"/>
      <w:lvlJc w:val="left"/>
      <w:pPr>
        <w:ind w:left="4613" w:hanging="257"/>
      </w:pPr>
      <w:rPr>
        <w:rFonts w:hint="default"/>
        <w:lang w:val="en-US" w:eastAsia="en-US" w:bidi="ar-SA"/>
      </w:rPr>
    </w:lvl>
    <w:lvl w:ilvl="6">
      <w:start w:val="0"/>
      <w:numFmt w:val="bullet"/>
      <w:lvlText w:val="•"/>
      <w:lvlJc w:val="left"/>
      <w:pPr>
        <w:ind w:left="5475" w:hanging="257"/>
      </w:pPr>
      <w:rPr>
        <w:rFonts w:hint="default"/>
        <w:lang w:val="en-US" w:eastAsia="en-US" w:bidi="ar-SA"/>
      </w:rPr>
    </w:lvl>
    <w:lvl w:ilvl="7">
      <w:start w:val="0"/>
      <w:numFmt w:val="bullet"/>
      <w:lvlText w:val="•"/>
      <w:lvlJc w:val="left"/>
      <w:pPr>
        <w:ind w:left="6338" w:hanging="257"/>
      </w:pPr>
      <w:rPr>
        <w:rFonts w:hint="default"/>
        <w:lang w:val="en-US" w:eastAsia="en-US" w:bidi="ar-SA"/>
      </w:rPr>
    </w:lvl>
    <w:lvl w:ilvl="8">
      <w:start w:val="0"/>
      <w:numFmt w:val="bullet"/>
      <w:lvlText w:val="•"/>
      <w:lvlJc w:val="left"/>
      <w:pPr>
        <w:ind w:left="7201" w:hanging="257"/>
      </w:pPr>
      <w:rPr>
        <w:rFonts w:hint="default"/>
        <w:lang w:val="en-US" w:eastAsia="en-US" w:bidi="ar-SA"/>
      </w:rPr>
    </w:lvl>
  </w:abstractNum>
  <w:abstractNum w:abstractNumId="37">
    <w:multiLevelType w:val="hybridMultilevel"/>
    <w:lvl w:ilvl="0">
      <w:start w:val="1"/>
      <w:numFmt w:val="decimal"/>
      <w:lvlText w:val="%1."/>
      <w:lvlJc w:val="left"/>
      <w:pPr>
        <w:ind w:left="300" w:hanging="240"/>
        <w:jc w:val="left"/>
      </w:pPr>
      <w:rPr>
        <w:rFonts w:hint="default" w:ascii="Times New Roman" w:hAnsi="Times New Roman" w:eastAsia="Times New Roman" w:cs="Times New Roman"/>
        <w:b/>
        <w:bCs/>
        <w:spacing w:val="-8"/>
        <w:w w:val="97"/>
        <w:sz w:val="24"/>
        <w:szCs w:val="24"/>
        <w:lang w:val="en-US" w:eastAsia="en-US" w:bidi="ar-SA"/>
      </w:rPr>
    </w:lvl>
    <w:lvl w:ilvl="1">
      <w:start w:val="0"/>
      <w:numFmt w:val="bullet"/>
      <w:lvlText w:val="•"/>
      <w:lvlJc w:val="left"/>
      <w:pPr>
        <w:ind w:left="1162" w:hanging="240"/>
      </w:pPr>
      <w:rPr>
        <w:rFonts w:hint="default"/>
        <w:lang w:val="en-US" w:eastAsia="en-US" w:bidi="ar-SA"/>
      </w:rPr>
    </w:lvl>
    <w:lvl w:ilvl="2">
      <w:start w:val="0"/>
      <w:numFmt w:val="bullet"/>
      <w:lvlText w:val="•"/>
      <w:lvlJc w:val="left"/>
      <w:pPr>
        <w:ind w:left="2025" w:hanging="240"/>
      </w:pPr>
      <w:rPr>
        <w:rFonts w:hint="default"/>
        <w:lang w:val="en-US" w:eastAsia="en-US" w:bidi="ar-SA"/>
      </w:rPr>
    </w:lvl>
    <w:lvl w:ilvl="3">
      <w:start w:val="0"/>
      <w:numFmt w:val="bullet"/>
      <w:lvlText w:val="•"/>
      <w:lvlJc w:val="left"/>
      <w:pPr>
        <w:ind w:left="2887" w:hanging="240"/>
      </w:pPr>
      <w:rPr>
        <w:rFonts w:hint="default"/>
        <w:lang w:val="en-US" w:eastAsia="en-US" w:bidi="ar-SA"/>
      </w:rPr>
    </w:lvl>
    <w:lvl w:ilvl="4">
      <w:start w:val="0"/>
      <w:numFmt w:val="bullet"/>
      <w:lvlText w:val="•"/>
      <w:lvlJc w:val="left"/>
      <w:pPr>
        <w:ind w:left="3750" w:hanging="240"/>
      </w:pPr>
      <w:rPr>
        <w:rFonts w:hint="default"/>
        <w:lang w:val="en-US" w:eastAsia="en-US" w:bidi="ar-SA"/>
      </w:rPr>
    </w:lvl>
    <w:lvl w:ilvl="5">
      <w:start w:val="0"/>
      <w:numFmt w:val="bullet"/>
      <w:lvlText w:val="•"/>
      <w:lvlJc w:val="left"/>
      <w:pPr>
        <w:ind w:left="4613" w:hanging="240"/>
      </w:pPr>
      <w:rPr>
        <w:rFonts w:hint="default"/>
        <w:lang w:val="en-US" w:eastAsia="en-US" w:bidi="ar-SA"/>
      </w:rPr>
    </w:lvl>
    <w:lvl w:ilvl="6">
      <w:start w:val="0"/>
      <w:numFmt w:val="bullet"/>
      <w:lvlText w:val="•"/>
      <w:lvlJc w:val="left"/>
      <w:pPr>
        <w:ind w:left="5475" w:hanging="240"/>
      </w:pPr>
      <w:rPr>
        <w:rFonts w:hint="default"/>
        <w:lang w:val="en-US" w:eastAsia="en-US" w:bidi="ar-SA"/>
      </w:rPr>
    </w:lvl>
    <w:lvl w:ilvl="7">
      <w:start w:val="0"/>
      <w:numFmt w:val="bullet"/>
      <w:lvlText w:val="•"/>
      <w:lvlJc w:val="left"/>
      <w:pPr>
        <w:ind w:left="6338" w:hanging="240"/>
      </w:pPr>
      <w:rPr>
        <w:rFonts w:hint="default"/>
        <w:lang w:val="en-US" w:eastAsia="en-US" w:bidi="ar-SA"/>
      </w:rPr>
    </w:lvl>
    <w:lvl w:ilvl="8">
      <w:start w:val="0"/>
      <w:numFmt w:val="bullet"/>
      <w:lvlText w:val="•"/>
      <w:lvlJc w:val="left"/>
      <w:pPr>
        <w:ind w:left="7201" w:hanging="240"/>
      </w:pPr>
      <w:rPr>
        <w:rFonts w:hint="default"/>
        <w:lang w:val="en-US" w:eastAsia="en-US" w:bidi="ar-SA"/>
      </w:rPr>
    </w:lvl>
  </w:abstractNum>
  <w:abstractNum w:abstractNumId="36">
    <w:multiLevelType w:val="hybridMultilevel"/>
    <w:lvl w:ilvl="0">
      <w:start w:val="1"/>
      <w:numFmt w:val="decimal"/>
      <w:lvlText w:val="%1."/>
      <w:lvlJc w:val="left"/>
      <w:pPr>
        <w:ind w:left="300" w:hanging="269"/>
        <w:jc w:val="left"/>
      </w:pPr>
      <w:rPr>
        <w:rFonts w:hint="default" w:ascii="Times New Roman" w:hAnsi="Times New Roman" w:eastAsia="Times New Roman" w:cs="Times New Roman"/>
        <w:w w:val="100"/>
        <w:sz w:val="24"/>
        <w:szCs w:val="24"/>
        <w:lang w:val="en-US" w:eastAsia="en-US" w:bidi="ar-SA"/>
      </w:rPr>
    </w:lvl>
    <w:lvl w:ilvl="1">
      <w:start w:val="0"/>
      <w:numFmt w:val="bullet"/>
      <w:lvlText w:val="•"/>
      <w:lvlJc w:val="left"/>
      <w:pPr>
        <w:ind w:left="1162" w:hanging="269"/>
      </w:pPr>
      <w:rPr>
        <w:rFonts w:hint="default"/>
        <w:lang w:val="en-US" w:eastAsia="en-US" w:bidi="ar-SA"/>
      </w:rPr>
    </w:lvl>
    <w:lvl w:ilvl="2">
      <w:start w:val="0"/>
      <w:numFmt w:val="bullet"/>
      <w:lvlText w:val="•"/>
      <w:lvlJc w:val="left"/>
      <w:pPr>
        <w:ind w:left="2025" w:hanging="269"/>
      </w:pPr>
      <w:rPr>
        <w:rFonts w:hint="default"/>
        <w:lang w:val="en-US" w:eastAsia="en-US" w:bidi="ar-SA"/>
      </w:rPr>
    </w:lvl>
    <w:lvl w:ilvl="3">
      <w:start w:val="0"/>
      <w:numFmt w:val="bullet"/>
      <w:lvlText w:val="•"/>
      <w:lvlJc w:val="left"/>
      <w:pPr>
        <w:ind w:left="2887" w:hanging="269"/>
      </w:pPr>
      <w:rPr>
        <w:rFonts w:hint="default"/>
        <w:lang w:val="en-US" w:eastAsia="en-US" w:bidi="ar-SA"/>
      </w:rPr>
    </w:lvl>
    <w:lvl w:ilvl="4">
      <w:start w:val="0"/>
      <w:numFmt w:val="bullet"/>
      <w:lvlText w:val="•"/>
      <w:lvlJc w:val="left"/>
      <w:pPr>
        <w:ind w:left="3750" w:hanging="269"/>
      </w:pPr>
      <w:rPr>
        <w:rFonts w:hint="default"/>
        <w:lang w:val="en-US" w:eastAsia="en-US" w:bidi="ar-SA"/>
      </w:rPr>
    </w:lvl>
    <w:lvl w:ilvl="5">
      <w:start w:val="0"/>
      <w:numFmt w:val="bullet"/>
      <w:lvlText w:val="•"/>
      <w:lvlJc w:val="left"/>
      <w:pPr>
        <w:ind w:left="4613" w:hanging="269"/>
      </w:pPr>
      <w:rPr>
        <w:rFonts w:hint="default"/>
        <w:lang w:val="en-US" w:eastAsia="en-US" w:bidi="ar-SA"/>
      </w:rPr>
    </w:lvl>
    <w:lvl w:ilvl="6">
      <w:start w:val="0"/>
      <w:numFmt w:val="bullet"/>
      <w:lvlText w:val="•"/>
      <w:lvlJc w:val="left"/>
      <w:pPr>
        <w:ind w:left="5475" w:hanging="269"/>
      </w:pPr>
      <w:rPr>
        <w:rFonts w:hint="default"/>
        <w:lang w:val="en-US" w:eastAsia="en-US" w:bidi="ar-SA"/>
      </w:rPr>
    </w:lvl>
    <w:lvl w:ilvl="7">
      <w:start w:val="0"/>
      <w:numFmt w:val="bullet"/>
      <w:lvlText w:val="•"/>
      <w:lvlJc w:val="left"/>
      <w:pPr>
        <w:ind w:left="6338" w:hanging="269"/>
      </w:pPr>
      <w:rPr>
        <w:rFonts w:hint="default"/>
        <w:lang w:val="en-US" w:eastAsia="en-US" w:bidi="ar-SA"/>
      </w:rPr>
    </w:lvl>
    <w:lvl w:ilvl="8">
      <w:start w:val="0"/>
      <w:numFmt w:val="bullet"/>
      <w:lvlText w:val="•"/>
      <w:lvlJc w:val="left"/>
      <w:pPr>
        <w:ind w:left="7201" w:hanging="269"/>
      </w:pPr>
      <w:rPr>
        <w:rFonts w:hint="default"/>
        <w:lang w:val="en-US" w:eastAsia="en-US" w:bidi="ar-SA"/>
      </w:rPr>
    </w:lvl>
  </w:abstractNum>
  <w:abstractNum w:abstractNumId="35">
    <w:multiLevelType w:val="hybridMultilevel"/>
    <w:lvl w:ilvl="0">
      <w:start w:val="1"/>
      <w:numFmt w:val="decimal"/>
      <w:lvlText w:val="%1."/>
      <w:lvlJc w:val="left"/>
      <w:pPr>
        <w:ind w:left="300" w:hanging="291"/>
        <w:jc w:val="left"/>
      </w:pPr>
      <w:rPr>
        <w:rFonts w:hint="default" w:ascii="Times New Roman" w:hAnsi="Times New Roman" w:eastAsia="Times New Roman" w:cs="Times New Roman"/>
        <w:b/>
        <w:bCs/>
        <w:spacing w:val="-15"/>
        <w:w w:val="99"/>
        <w:sz w:val="24"/>
        <w:szCs w:val="24"/>
        <w:lang w:val="en-US" w:eastAsia="en-US" w:bidi="ar-SA"/>
      </w:rPr>
    </w:lvl>
    <w:lvl w:ilvl="1">
      <w:start w:val="0"/>
      <w:numFmt w:val="bullet"/>
      <w:lvlText w:val="•"/>
      <w:lvlJc w:val="left"/>
      <w:pPr>
        <w:ind w:left="1162" w:hanging="291"/>
      </w:pPr>
      <w:rPr>
        <w:rFonts w:hint="default"/>
        <w:lang w:val="en-US" w:eastAsia="en-US" w:bidi="ar-SA"/>
      </w:rPr>
    </w:lvl>
    <w:lvl w:ilvl="2">
      <w:start w:val="0"/>
      <w:numFmt w:val="bullet"/>
      <w:lvlText w:val="•"/>
      <w:lvlJc w:val="left"/>
      <w:pPr>
        <w:ind w:left="2025" w:hanging="291"/>
      </w:pPr>
      <w:rPr>
        <w:rFonts w:hint="default"/>
        <w:lang w:val="en-US" w:eastAsia="en-US" w:bidi="ar-SA"/>
      </w:rPr>
    </w:lvl>
    <w:lvl w:ilvl="3">
      <w:start w:val="0"/>
      <w:numFmt w:val="bullet"/>
      <w:lvlText w:val="•"/>
      <w:lvlJc w:val="left"/>
      <w:pPr>
        <w:ind w:left="2887" w:hanging="291"/>
      </w:pPr>
      <w:rPr>
        <w:rFonts w:hint="default"/>
        <w:lang w:val="en-US" w:eastAsia="en-US" w:bidi="ar-SA"/>
      </w:rPr>
    </w:lvl>
    <w:lvl w:ilvl="4">
      <w:start w:val="0"/>
      <w:numFmt w:val="bullet"/>
      <w:lvlText w:val="•"/>
      <w:lvlJc w:val="left"/>
      <w:pPr>
        <w:ind w:left="3750" w:hanging="291"/>
      </w:pPr>
      <w:rPr>
        <w:rFonts w:hint="default"/>
        <w:lang w:val="en-US" w:eastAsia="en-US" w:bidi="ar-SA"/>
      </w:rPr>
    </w:lvl>
    <w:lvl w:ilvl="5">
      <w:start w:val="0"/>
      <w:numFmt w:val="bullet"/>
      <w:lvlText w:val="•"/>
      <w:lvlJc w:val="left"/>
      <w:pPr>
        <w:ind w:left="4613" w:hanging="291"/>
      </w:pPr>
      <w:rPr>
        <w:rFonts w:hint="default"/>
        <w:lang w:val="en-US" w:eastAsia="en-US" w:bidi="ar-SA"/>
      </w:rPr>
    </w:lvl>
    <w:lvl w:ilvl="6">
      <w:start w:val="0"/>
      <w:numFmt w:val="bullet"/>
      <w:lvlText w:val="•"/>
      <w:lvlJc w:val="left"/>
      <w:pPr>
        <w:ind w:left="5475" w:hanging="291"/>
      </w:pPr>
      <w:rPr>
        <w:rFonts w:hint="default"/>
        <w:lang w:val="en-US" w:eastAsia="en-US" w:bidi="ar-SA"/>
      </w:rPr>
    </w:lvl>
    <w:lvl w:ilvl="7">
      <w:start w:val="0"/>
      <w:numFmt w:val="bullet"/>
      <w:lvlText w:val="•"/>
      <w:lvlJc w:val="left"/>
      <w:pPr>
        <w:ind w:left="6338" w:hanging="291"/>
      </w:pPr>
      <w:rPr>
        <w:rFonts w:hint="default"/>
        <w:lang w:val="en-US" w:eastAsia="en-US" w:bidi="ar-SA"/>
      </w:rPr>
    </w:lvl>
    <w:lvl w:ilvl="8">
      <w:start w:val="0"/>
      <w:numFmt w:val="bullet"/>
      <w:lvlText w:val="•"/>
      <w:lvlJc w:val="left"/>
      <w:pPr>
        <w:ind w:left="7201" w:hanging="291"/>
      </w:pPr>
      <w:rPr>
        <w:rFonts w:hint="default"/>
        <w:lang w:val="en-US" w:eastAsia="en-US" w:bidi="ar-SA"/>
      </w:rPr>
    </w:lvl>
  </w:abstractNum>
  <w:abstractNum w:abstractNumId="34">
    <w:multiLevelType w:val="hybridMultilevel"/>
    <w:lvl w:ilvl="0">
      <w:start w:val="1"/>
      <w:numFmt w:val="decimal"/>
      <w:lvlText w:val="%1."/>
      <w:lvlJc w:val="left"/>
      <w:pPr>
        <w:ind w:left="300" w:hanging="312"/>
        <w:jc w:val="left"/>
      </w:pPr>
      <w:rPr>
        <w:rFonts w:hint="default" w:ascii="Times New Roman" w:hAnsi="Times New Roman" w:eastAsia="Times New Roman" w:cs="Times New Roman"/>
        <w:b/>
        <w:bCs/>
        <w:spacing w:val="-5"/>
        <w:w w:val="99"/>
        <w:sz w:val="24"/>
        <w:szCs w:val="24"/>
        <w:lang w:val="en-US" w:eastAsia="en-US" w:bidi="ar-SA"/>
      </w:rPr>
    </w:lvl>
    <w:lvl w:ilvl="1">
      <w:start w:val="0"/>
      <w:numFmt w:val="bullet"/>
      <w:lvlText w:val="•"/>
      <w:lvlJc w:val="left"/>
      <w:pPr>
        <w:ind w:left="1162" w:hanging="312"/>
      </w:pPr>
      <w:rPr>
        <w:rFonts w:hint="default"/>
        <w:lang w:val="en-US" w:eastAsia="en-US" w:bidi="ar-SA"/>
      </w:rPr>
    </w:lvl>
    <w:lvl w:ilvl="2">
      <w:start w:val="0"/>
      <w:numFmt w:val="bullet"/>
      <w:lvlText w:val="•"/>
      <w:lvlJc w:val="left"/>
      <w:pPr>
        <w:ind w:left="2025" w:hanging="312"/>
      </w:pPr>
      <w:rPr>
        <w:rFonts w:hint="default"/>
        <w:lang w:val="en-US" w:eastAsia="en-US" w:bidi="ar-SA"/>
      </w:rPr>
    </w:lvl>
    <w:lvl w:ilvl="3">
      <w:start w:val="0"/>
      <w:numFmt w:val="bullet"/>
      <w:lvlText w:val="•"/>
      <w:lvlJc w:val="left"/>
      <w:pPr>
        <w:ind w:left="2887" w:hanging="312"/>
      </w:pPr>
      <w:rPr>
        <w:rFonts w:hint="default"/>
        <w:lang w:val="en-US" w:eastAsia="en-US" w:bidi="ar-SA"/>
      </w:rPr>
    </w:lvl>
    <w:lvl w:ilvl="4">
      <w:start w:val="0"/>
      <w:numFmt w:val="bullet"/>
      <w:lvlText w:val="•"/>
      <w:lvlJc w:val="left"/>
      <w:pPr>
        <w:ind w:left="3750" w:hanging="312"/>
      </w:pPr>
      <w:rPr>
        <w:rFonts w:hint="default"/>
        <w:lang w:val="en-US" w:eastAsia="en-US" w:bidi="ar-SA"/>
      </w:rPr>
    </w:lvl>
    <w:lvl w:ilvl="5">
      <w:start w:val="0"/>
      <w:numFmt w:val="bullet"/>
      <w:lvlText w:val="•"/>
      <w:lvlJc w:val="left"/>
      <w:pPr>
        <w:ind w:left="4613" w:hanging="312"/>
      </w:pPr>
      <w:rPr>
        <w:rFonts w:hint="default"/>
        <w:lang w:val="en-US" w:eastAsia="en-US" w:bidi="ar-SA"/>
      </w:rPr>
    </w:lvl>
    <w:lvl w:ilvl="6">
      <w:start w:val="0"/>
      <w:numFmt w:val="bullet"/>
      <w:lvlText w:val="•"/>
      <w:lvlJc w:val="left"/>
      <w:pPr>
        <w:ind w:left="5475" w:hanging="312"/>
      </w:pPr>
      <w:rPr>
        <w:rFonts w:hint="default"/>
        <w:lang w:val="en-US" w:eastAsia="en-US" w:bidi="ar-SA"/>
      </w:rPr>
    </w:lvl>
    <w:lvl w:ilvl="7">
      <w:start w:val="0"/>
      <w:numFmt w:val="bullet"/>
      <w:lvlText w:val="•"/>
      <w:lvlJc w:val="left"/>
      <w:pPr>
        <w:ind w:left="6338" w:hanging="312"/>
      </w:pPr>
      <w:rPr>
        <w:rFonts w:hint="default"/>
        <w:lang w:val="en-US" w:eastAsia="en-US" w:bidi="ar-SA"/>
      </w:rPr>
    </w:lvl>
    <w:lvl w:ilvl="8">
      <w:start w:val="0"/>
      <w:numFmt w:val="bullet"/>
      <w:lvlText w:val="•"/>
      <w:lvlJc w:val="left"/>
      <w:pPr>
        <w:ind w:left="7201" w:hanging="312"/>
      </w:pPr>
      <w:rPr>
        <w:rFonts w:hint="default"/>
        <w:lang w:val="en-US" w:eastAsia="en-US" w:bidi="ar-SA"/>
      </w:rPr>
    </w:lvl>
  </w:abstractNum>
  <w:abstractNum w:abstractNumId="33">
    <w:multiLevelType w:val="hybridMultilevel"/>
    <w:lvl w:ilvl="0">
      <w:start w:val="1"/>
      <w:numFmt w:val="decimal"/>
      <w:lvlText w:val="%1."/>
      <w:lvlJc w:val="left"/>
      <w:pPr>
        <w:ind w:left="300" w:hanging="276"/>
        <w:jc w:val="left"/>
      </w:pPr>
      <w:rPr>
        <w:rFonts w:hint="default" w:ascii="Times New Roman" w:hAnsi="Times New Roman" w:eastAsia="Times New Roman" w:cs="Times New Roman"/>
        <w:b/>
        <w:bCs/>
        <w:spacing w:val="-25"/>
        <w:w w:val="99"/>
        <w:sz w:val="24"/>
        <w:szCs w:val="24"/>
        <w:lang w:val="en-US" w:eastAsia="en-US" w:bidi="ar-SA"/>
      </w:rPr>
    </w:lvl>
    <w:lvl w:ilvl="1">
      <w:start w:val="0"/>
      <w:numFmt w:val="bullet"/>
      <w:lvlText w:val="•"/>
      <w:lvlJc w:val="left"/>
      <w:pPr>
        <w:ind w:left="1162" w:hanging="276"/>
      </w:pPr>
      <w:rPr>
        <w:rFonts w:hint="default"/>
        <w:lang w:val="en-US" w:eastAsia="en-US" w:bidi="ar-SA"/>
      </w:rPr>
    </w:lvl>
    <w:lvl w:ilvl="2">
      <w:start w:val="0"/>
      <w:numFmt w:val="bullet"/>
      <w:lvlText w:val="•"/>
      <w:lvlJc w:val="left"/>
      <w:pPr>
        <w:ind w:left="2025" w:hanging="276"/>
      </w:pPr>
      <w:rPr>
        <w:rFonts w:hint="default"/>
        <w:lang w:val="en-US" w:eastAsia="en-US" w:bidi="ar-SA"/>
      </w:rPr>
    </w:lvl>
    <w:lvl w:ilvl="3">
      <w:start w:val="0"/>
      <w:numFmt w:val="bullet"/>
      <w:lvlText w:val="•"/>
      <w:lvlJc w:val="left"/>
      <w:pPr>
        <w:ind w:left="2887" w:hanging="276"/>
      </w:pPr>
      <w:rPr>
        <w:rFonts w:hint="default"/>
        <w:lang w:val="en-US" w:eastAsia="en-US" w:bidi="ar-SA"/>
      </w:rPr>
    </w:lvl>
    <w:lvl w:ilvl="4">
      <w:start w:val="0"/>
      <w:numFmt w:val="bullet"/>
      <w:lvlText w:val="•"/>
      <w:lvlJc w:val="left"/>
      <w:pPr>
        <w:ind w:left="3750" w:hanging="276"/>
      </w:pPr>
      <w:rPr>
        <w:rFonts w:hint="default"/>
        <w:lang w:val="en-US" w:eastAsia="en-US" w:bidi="ar-SA"/>
      </w:rPr>
    </w:lvl>
    <w:lvl w:ilvl="5">
      <w:start w:val="0"/>
      <w:numFmt w:val="bullet"/>
      <w:lvlText w:val="•"/>
      <w:lvlJc w:val="left"/>
      <w:pPr>
        <w:ind w:left="4613" w:hanging="276"/>
      </w:pPr>
      <w:rPr>
        <w:rFonts w:hint="default"/>
        <w:lang w:val="en-US" w:eastAsia="en-US" w:bidi="ar-SA"/>
      </w:rPr>
    </w:lvl>
    <w:lvl w:ilvl="6">
      <w:start w:val="0"/>
      <w:numFmt w:val="bullet"/>
      <w:lvlText w:val="•"/>
      <w:lvlJc w:val="left"/>
      <w:pPr>
        <w:ind w:left="5475" w:hanging="276"/>
      </w:pPr>
      <w:rPr>
        <w:rFonts w:hint="default"/>
        <w:lang w:val="en-US" w:eastAsia="en-US" w:bidi="ar-SA"/>
      </w:rPr>
    </w:lvl>
    <w:lvl w:ilvl="7">
      <w:start w:val="0"/>
      <w:numFmt w:val="bullet"/>
      <w:lvlText w:val="•"/>
      <w:lvlJc w:val="left"/>
      <w:pPr>
        <w:ind w:left="6338" w:hanging="276"/>
      </w:pPr>
      <w:rPr>
        <w:rFonts w:hint="default"/>
        <w:lang w:val="en-US" w:eastAsia="en-US" w:bidi="ar-SA"/>
      </w:rPr>
    </w:lvl>
    <w:lvl w:ilvl="8">
      <w:start w:val="0"/>
      <w:numFmt w:val="bullet"/>
      <w:lvlText w:val="•"/>
      <w:lvlJc w:val="left"/>
      <w:pPr>
        <w:ind w:left="7201" w:hanging="276"/>
      </w:pPr>
      <w:rPr>
        <w:rFonts w:hint="default"/>
        <w:lang w:val="en-US" w:eastAsia="en-US" w:bidi="ar-SA"/>
      </w:rPr>
    </w:lvl>
  </w:abstractNum>
  <w:abstractNum w:abstractNumId="32">
    <w:multiLevelType w:val="hybridMultilevel"/>
    <w:lvl w:ilvl="0">
      <w:start w:val="1"/>
      <w:numFmt w:val="decimal"/>
      <w:lvlText w:val="%1."/>
      <w:lvlJc w:val="left"/>
      <w:pPr>
        <w:ind w:left="300" w:hanging="262"/>
        <w:jc w:val="left"/>
      </w:pPr>
      <w:rPr>
        <w:rFonts w:hint="default" w:ascii="Times New Roman" w:hAnsi="Times New Roman" w:eastAsia="Times New Roman" w:cs="Times New Roman"/>
        <w:b/>
        <w:bCs/>
        <w:w w:val="100"/>
        <w:sz w:val="24"/>
        <w:szCs w:val="24"/>
        <w:lang w:val="en-US" w:eastAsia="en-US" w:bidi="ar-SA"/>
      </w:rPr>
    </w:lvl>
    <w:lvl w:ilvl="1">
      <w:start w:val="0"/>
      <w:numFmt w:val="bullet"/>
      <w:lvlText w:val="•"/>
      <w:lvlJc w:val="left"/>
      <w:pPr>
        <w:ind w:left="1162" w:hanging="262"/>
      </w:pPr>
      <w:rPr>
        <w:rFonts w:hint="default"/>
        <w:lang w:val="en-US" w:eastAsia="en-US" w:bidi="ar-SA"/>
      </w:rPr>
    </w:lvl>
    <w:lvl w:ilvl="2">
      <w:start w:val="0"/>
      <w:numFmt w:val="bullet"/>
      <w:lvlText w:val="•"/>
      <w:lvlJc w:val="left"/>
      <w:pPr>
        <w:ind w:left="2025" w:hanging="262"/>
      </w:pPr>
      <w:rPr>
        <w:rFonts w:hint="default"/>
        <w:lang w:val="en-US" w:eastAsia="en-US" w:bidi="ar-SA"/>
      </w:rPr>
    </w:lvl>
    <w:lvl w:ilvl="3">
      <w:start w:val="0"/>
      <w:numFmt w:val="bullet"/>
      <w:lvlText w:val="•"/>
      <w:lvlJc w:val="left"/>
      <w:pPr>
        <w:ind w:left="2887" w:hanging="262"/>
      </w:pPr>
      <w:rPr>
        <w:rFonts w:hint="default"/>
        <w:lang w:val="en-US" w:eastAsia="en-US" w:bidi="ar-SA"/>
      </w:rPr>
    </w:lvl>
    <w:lvl w:ilvl="4">
      <w:start w:val="0"/>
      <w:numFmt w:val="bullet"/>
      <w:lvlText w:val="•"/>
      <w:lvlJc w:val="left"/>
      <w:pPr>
        <w:ind w:left="3750" w:hanging="262"/>
      </w:pPr>
      <w:rPr>
        <w:rFonts w:hint="default"/>
        <w:lang w:val="en-US" w:eastAsia="en-US" w:bidi="ar-SA"/>
      </w:rPr>
    </w:lvl>
    <w:lvl w:ilvl="5">
      <w:start w:val="0"/>
      <w:numFmt w:val="bullet"/>
      <w:lvlText w:val="•"/>
      <w:lvlJc w:val="left"/>
      <w:pPr>
        <w:ind w:left="4613" w:hanging="262"/>
      </w:pPr>
      <w:rPr>
        <w:rFonts w:hint="default"/>
        <w:lang w:val="en-US" w:eastAsia="en-US" w:bidi="ar-SA"/>
      </w:rPr>
    </w:lvl>
    <w:lvl w:ilvl="6">
      <w:start w:val="0"/>
      <w:numFmt w:val="bullet"/>
      <w:lvlText w:val="•"/>
      <w:lvlJc w:val="left"/>
      <w:pPr>
        <w:ind w:left="5475" w:hanging="262"/>
      </w:pPr>
      <w:rPr>
        <w:rFonts w:hint="default"/>
        <w:lang w:val="en-US" w:eastAsia="en-US" w:bidi="ar-SA"/>
      </w:rPr>
    </w:lvl>
    <w:lvl w:ilvl="7">
      <w:start w:val="0"/>
      <w:numFmt w:val="bullet"/>
      <w:lvlText w:val="•"/>
      <w:lvlJc w:val="left"/>
      <w:pPr>
        <w:ind w:left="6338" w:hanging="262"/>
      </w:pPr>
      <w:rPr>
        <w:rFonts w:hint="default"/>
        <w:lang w:val="en-US" w:eastAsia="en-US" w:bidi="ar-SA"/>
      </w:rPr>
    </w:lvl>
    <w:lvl w:ilvl="8">
      <w:start w:val="0"/>
      <w:numFmt w:val="bullet"/>
      <w:lvlText w:val="•"/>
      <w:lvlJc w:val="left"/>
      <w:pPr>
        <w:ind w:left="7201" w:hanging="262"/>
      </w:pPr>
      <w:rPr>
        <w:rFonts w:hint="default"/>
        <w:lang w:val="en-US" w:eastAsia="en-US" w:bidi="ar-SA"/>
      </w:rPr>
    </w:lvl>
  </w:abstractNum>
  <w:abstractNum w:abstractNumId="31">
    <w:multiLevelType w:val="hybridMultilevel"/>
    <w:lvl w:ilvl="0">
      <w:start w:val="1"/>
      <w:numFmt w:val="decimal"/>
      <w:lvlText w:val="%1."/>
      <w:lvlJc w:val="left"/>
      <w:pPr>
        <w:ind w:left="300" w:hanging="272"/>
        <w:jc w:val="left"/>
      </w:pPr>
      <w:rPr>
        <w:rFonts w:hint="default" w:ascii="Times New Roman" w:hAnsi="Times New Roman" w:eastAsia="Times New Roman" w:cs="Times New Roman"/>
        <w:b/>
        <w:bCs/>
        <w:spacing w:val="-29"/>
        <w:w w:val="97"/>
        <w:sz w:val="24"/>
        <w:szCs w:val="24"/>
        <w:lang w:val="en-US" w:eastAsia="en-US" w:bidi="ar-SA"/>
      </w:rPr>
    </w:lvl>
    <w:lvl w:ilvl="1">
      <w:start w:val="0"/>
      <w:numFmt w:val="bullet"/>
      <w:lvlText w:val="•"/>
      <w:lvlJc w:val="left"/>
      <w:pPr>
        <w:ind w:left="1162" w:hanging="272"/>
      </w:pPr>
      <w:rPr>
        <w:rFonts w:hint="default"/>
        <w:lang w:val="en-US" w:eastAsia="en-US" w:bidi="ar-SA"/>
      </w:rPr>
    </w:lvl>
    <w:lvl w:ilvl="2">
      <w:start w:val="0"/>
      <w:numFmt w:val="bullet"/>
      <w:lvlText w:val="•"/>
      <w:lvlJc w:val="left"/>
      <w:pPr>
        <w:ind w:left="2025" w:hanging="272"/>
      </w:pPr>
      <w:rPr>
        <w:rFonts w:hint="default"/>
        <w:lang w:val="en-US" w:eastAsia="en-US" w:bidi="ar-SA"/>
      </w:rPr>
    </w:lvl>
    <w:lvl w:ilvl="3">
      <w:start w:val="0"/>
      <w:numFmt w:val="bullet"/>
      <w:lvlText w:val="•"/>
      <w:lvlJc w:val="left"/>
      <w:pPr>
        <w:ind w:left="2887" w:hanging="272"/>
      </w:pPr>
      <w:rPr>
        <w:rFonts w:hint="default"/>
        <w:lang w:val="en-US" w:eastAsia="en-US" w:bidi="ar-SA"/>
      </w:rPr>
    </w:lvl>
    <w:lvl w:ilvl="4">
      <w:start w:val="0"/>
      <w:numFmt w:val="bullet"/>
      <w:lvlText w:val="•"/>
      <w:lvlJc w:val="left"/>
      <w:pPr>
        <w:ind w:left="3750" w:hanging="272"/>
      </w:pPr>
      <w:rPr>
        <w:rFonts w:hint="default"/>
        <w:lang w:val="en-US" w:eastAsia="en-US" w:bidi="ar-SA"/>
      </w:rPr>
    </w:lvl>
    <w:lvl w:ilvl="5">
      <w:start w:val="0"/>
      <w:numFmt w:val="bullet"/>
      <w:lvlText w:val="•"/>
      <w:lvlJc w:val="left"/>
      <w:pPr>
        <w:ind w:left="4613" w:hanging="272"/>
      </w:pPr>
      <w:rPr>
        <w:rFonts w:hint="default"/>
        <w:lang w:val="en-US" w:eastAsia="en-US" w:bidi="ar-SA"/>
      </w:rPr>
    </w:lvl>
    <w:lvl w:ilvl="6">
      <w:start w:val="0"/>
      <w:numFmt w:val="bullet"/>
      <w:lvlText w:val="•"/>
      <w:lvlJc w:val="left"/>
      <w:pPr>
        <w:ind w:left="5475" w:hanging="272"/>
      </w:pPr>
      <w:rPr>
        <w:rFonts w:hint="default"/>
        <w:lang w:val="en-US" w:eastAsia="en-US" w:bidi="ar-SA"/>
      </w:rPr>
    </w:lvl>
    <w:lvl w:ilvl="7">
      <w:start w:val="0"/>
      <w:numFmt w:val="bullet"/>
      <w:lvlText w:val="•"/>
      <w:lvlJc w:val="left"/>
      <w:pPr>
        <w:ind w:left="6338" w:hanging="272"/>
      </w:pPr>
      <w:rPr>
        <w:rFonts w:hint="default"/>
        <w:lang w:val="en-US" w:eastAsia="en-US" w:bidi="ar-SA"/>
      </w:rPr>
    </w:lvl>
    <w:lvl w:ilvl="8">
      <w:start w:val="0"/>
      <w:numFmt w:val="bullet"/>
      <w:lvlText w:val="•"/>
      <w:lvlJc w:val="left"/>
      <w:pPr>
        <w:ind w:left="7201" w:hanging="272"/>
      </w:pPr>
      <w:rPr>
        <w:rFonts w:hint="default"/>
        <w:lang w:val="en-US" w:eastAsia="en-US" w:bidi="ar-SA"/>
      </w:rPr>
    </w:lvl>
  </w:abstractNum>
  <w:abstractNum w:abstractNumId="30">
    <w:multiLevelType w:val="hybridMultilevel"/>
    <w:lvl w:ilvl="0">
      <w:start w:val="1"/>
      <w:numFmt w:val="decimal"/>
      <w:lvlText w:val="%1."/>
      <w:lvlJc w:val="left"/>
      <w:pPr>
        <w:ind w:left="540" w:hanging="240"/>
        <w:jc w:val="left"/>
      </w:pPr>
      <w:rPr>
        <w:rFonts w:hint="default" w:ascii="Times New Roman" w:hAnsi="Times New Roman" w:eastAsia="Times New Roman" w:cs="Times New Roman"/>
        <w:spacing w:val="-1"/>
        <w:w w:val="99"/>
        <w:sz w:val="24"/>
        <w:szCs w:val="24"/>
        <w:lang w:val="en-US" w:eastAsia="en-US" w:bidi="ar-SA"/>
      </w:rPr>
    </w:lvl>
    <w:lvl w:ilvl="1">
      <w:start w:val="0"/>
      <w:numFmt w:val="bullet"/>
      <w:lvlText w:val="•"/>
      <w:lvlJc w:val="left"/>
      <w:pPr>
        <w:ind w:left="1378" w:hanging="240"/>
      </w:pPr>
      <w:rPr>
        <w:rFonts w:hint="default"/>
        <w:lang w:val="en-US" w:eastAsia="en-US" w:bidi="ar-SA"/>
      </w:rPr>
    </w:lvl>
    <w:lvl w:ilvl="2">
      <w:start w:val="0"/>
      <w:numFmt w:val="bullet"/>
      <w:lvlText w:val="•"/>
      <w:lvlJc w:val="left"/>
      <w:pPr>
        <w:ind w:left="2217" w:hanging="240"/>
      </w:pPr>
      <w:rPr>
        <w:rFonts w:hint="default"/>
        <w:lang w:val="en-US" w:eastAsia="en-US" w:bidi="ar-SA"/>
      </w:rPr>
    </w:lvl>
    <w:lvl w:ilvl="3">
      <w:start w:val="0"/>
      <w:numFmt w:val="bullet"/>
      <w:lvlText w:val="•"/>
      <w:lvlJc w:val="left"/>
      <w:pPr>
        <w:ind w:left="3055" w:hanging="240"/>
      </w:pPr>
      <w:rPr>
        <w:rFonts w:hint="default"/>
        <w:lang w:val="en-US" w:eastAsia="en-US" w:bidi="ar-SA"/>
      </w:rPr>
    </w:lvl>
    <w:lvl w:ilvl="4">
      <w:start w:val="0"/>
      <w:numFmt w:val="bullet"/>
      <w:lvlText w:val="•"/>
      <w:lvlJc w:val="left"/>
      <w:pPr>
        <w:ind w:left="3894" w:hanging="240"/>
      </w:pPr>
      <w:rPr>
        <w:rFonts w:hint="default"/>
        <w:lang w:val="en-US" w:eastAsia="en-US" w:bidi="ar-SA"/>
      </w:rPr>
    </w:lvl>
    <w:lvl w:ilvl="5">
      <w:start w:val="0"/>
      <w:numFmt w:val="bullet"/>
      <w:lvlText w:val="•"/>
      <w:lvlJc w:val="left"/>
      <w:pPr>
        <w:ind w:left="4733" w:hanging="240"/>
      </w:pPr>
      <w:rPr>
        <w:rFonts w:hint="default"/>
        <w:lang w:val="en-US" w:eastAsia="en-US" w:bidi="ar-SA"/>
      </w:rPr>
    </w:lvl>
    <w:lvl w:ilvl="6">
      <w:start w:val="0"/>
      <w:numFmt w:val="bullet"/>
      <w:lvlText w:val="•"/>
      <w:lvlJc w:val="left"/>
      <w:pPr>
        <w:ind w:left="5571" w:hanging="240"/>
      </w:pPr>
      <w:rPr>
        <w:rFonts w:hint="default"/>
        <w:lang w:val="en-US" w:eastAsia="en-US" w:bidi="ar-SA"/>
      </w:rPr>
    </w:lvl>
    <w:lvl w:ilvl="7">
      <w:start w:val="0"/>
      <w:numFmt w:val="bullet"/>
      <w:lvlText w:val="•"/>
      <w:lvlJc w:val="left"/>
      <w:pPr>
        <w:ind w:left="6410" w:hanging="240"/>
      </w:pPr>
      <w:rPr>
        <w:rFonts w:hint="default"/>
        <w:lang w:val="en-US" w:eastAsia="en-US" w:bidi="ar-SA"/>
      </w:rPr>
    </w:lvl>
    <w:lvl w:ilvl="8">
      <w:start w:val="0"/>
      <w:numFmt w:val="bullet"/>
      <w:lvlText w:val="•"/>
      <w:lvlJc w:val="left"/>
      <w:pPr>
        <w:ind w:left="7249" w:hanging="240"/>
      </w:pPr>
      <w:rPr>
        <w:rFonts w:hint="default"/>
        <w:lang w:val="en-US" w:eastAsia="en-US" w:bidi="ar-SA"/>
      </w:rPr>
    </w:lvl>
  </w:abstractNum>
  <w:abstractNum w:abstractNumId="29">
    <w:multiLevelType w:val="hybridMultilevel"/>
    <w:lvl w:ilvl="0">
      <w:start w:val="1"/>
      <w:numFmt w:val="decimal"/>
      <w:lvlText w:val="(%1)"/>
      <w:lvlJc w:val="left"/>
      <w:pPr>
        <w:ind w:left="300" w:hanging="360"/>
        <w:jc w:val="left"/>
      </w:pPr>
      <w:rPr>
        <w:rFonts w:hint="default" w:ascii="Times New Roman" w:hAnsi="Times New Roman" w:eastAsia="Times New Roman" w:cs="Times New Roman"/>
        <w:spacing w:val="-1"/>
        <w:w w:val="99"/>
        <w:sz w:val="24"/>
        <w:szCs w:val="24"/>
        <w:lang w:val="en-US" w:eastAsia="en-US" w:bidi="ar-SA"/>
      </w:rPr>
    </w:lvl>
    <w:lvl w:ilvl="1">
      <w:start w:val="0"/>
      <w:numFmt w:val="bullet"/>
      <w:lvlText w:val="•"/>
      <w:lvlJc w:val="left"/>
      <w:pPr>
        <w:ind w:left="1162" w:hanging="360"/>
      </w:pPr>
      <w:rPr>
        <w:rFonts w:hint="default"/>
        <w:lang w:val="en-US" w:eastAsia="en-US" w:bidi="ar-SA"/>
      </w:rPr>
    </w:lvl>
    <w:lvl w:ilvl="2">
      <w:start w:val="0"/>
      <w:numFmt w:val="bullet"/>
      <w:lvlText w:val="•"/>
      <w:lvlJc w:val="left"/>
      <w:pPr>
        <w:ind w:left="2025" w:hanging="360"/>
      </w:pPr>
      <w:rPr>
        <w:rFonts w:hint="default"/>
        <w:lang w:val="en-US" w:eastAsia="en-US" w:bidi="ar-SA"/>
      </w:rPr>
    </w:lvl>
    <w:lvl w:ilvl="3">
      <w:start w:val="0"/>
      <w:numFmt w:val="bullet"/>
      <w:lvlText w:val="•"/>
      <w:lvlJc w:val="left"/>
      <w:pPr>
        <w:ind w:left="2887" w:hanging="360"/>
      </w:pPr>
      <w:rPr>
        <w:rFonts w:hint="default"/>
        <w:lang w:val="en-US" w:eastAsia="en-US" w:bidi="ar-SA"/>
      </w:rPr>
    </w:lvl>
    <w:lvl w:ilvl="4">
      <w:start w:val="0"/>
      <w:numFmt w:val="bullet"/>
      <w:lvlText w:val="•"/>
      <w:lvlJc w:val="left"/>
      <w:pPr>
        <w:ind w:left="3750" w:hanging="360"/>
      </w:pPr>
      <w:rPr>
        <w:rFonts w:hint="default"/>
        <w:lang w:val="en-US" w:eastAsia="en-US" w:bidi="ar-SA"/>
      </w:rPr>
    </w:lvl>
    <w:lvl w:ilvl="5">
      <w:start w:val="0"/>
      <w:numFmt w:val="bullet"/>
      <w:lvlText w:val="•"/>
      <w:lvlJc w:val="left"/>
      <w:pPr>
        <w:ind w:left="4613" w:hanging="360"/>
      </w:pPr>
      <w:rPr>
        <w:rFonts w:hint="default"/>
        <w:lang w:val="en-US" w:eastAsia="en-US" w:bidi="ar-SA"/>
      </w:rPr>
    </w:lvl>
    <w:lvl w:ilvl="6">
      <w:start w:val="0"/>
      <w:numFmt w:val="bullet"/>
      <w:lvlText w:val="•"/>
      <w:lvlJc w:val="left"/>
      <w:pPr>
        <w:ind w:left="5475" w:hanging="360"/>
      </w:pPr>
      <w:rPr>
        <w:rFonts w:hint="default"/>
        <w:lang w:val="en-US" w:eastAsia="en-US" w:bidi="ar-SA"/>
      </w:rPr>
    </w:lvl>
    <w:lvl w:ilvl="7">
      <w:start w:val="0"/>
      <w:numFmt w:val="bullet"/>
      <w:lvlText w:val="•"/>
      <w:lvlJc w:val="left"/>
      <w:pPr>
        <w:ind w:left="6338" w:hanging="360"/>
      </w:pPr>
      <w:rPr>
        <w:rFonts w:hint="default"/>
        <w:lang w:val="en-US" w:eastAsia="en-US" w:bidi="ar-SA"/>
      </w:rPr>
    </w:lvl>
    <w:lvl w:ilvl="8">
      <w:start w:val="0"/>
      <w:numFmt w:val="bullet"/>
      <w:lvlText w:val="•"/>
      <w:lvlJc w:val="left"/>
      <w:pPr>
        <w:ind w:left="7201" w:hanging="360"/>
      </w:pPr>
      <w:rPr>
        <w:rFonts w:hint="default"/>
        <w:lang w:val="en-US" w:eastAsia="en-US" w:bidi="ar-SA"/>
      </w:rPr>
    </w:lvl>
  </w:abstractNum>
  <w:abstractNum w:abstractNumId="28">
    <w:multiLevelType w:val="hybridMultilevel"/>
    <w:lvl w:ilvl="0">
      <w:start w:val="1"/>
      <w:numFmt w:val="decimal"/>
      <w:lvlText w:val="%1."/>
      <w:lvlJc w:val="left"/>
      <w:pPr>
        <w:ind w:left="540" w:hanging="240"/>
        <w:jc w:val="left"/>
      </w:pPr>
      <w:rPr>
        <w:rFonts w:hint="default" w:ascii="Times New Roman" w:hAnsi="Times New Roman" w:eastAsia="Times New Roman" w:cs="Times New Roman"/>
        <w:spacing w:val="-2"/>
        <w:w w:val="99"/>
        <w:sz w:val="24"/>
        <w:szCs w:val="24"/>
        <w:lang w:val="en-US" w:eastAsia="en-US" w:bidi="ar-SA"/>
      </w:rPr>
    </w:lvl>
    <w:lvl w:ilvl="1">
      <w:start w:val="0"/>
      <w:numFmt w:val="bullet"/>
      <w:lvlText w:val="•"/>
      <w:lvlJc w:val="left"/>
      <w:pPr>
        <w:ind w:left="1378" w:hanging="240"/>
      </w:pPr>
      <w:rPr>
        <w:rFonts w:hint="default"/>
        <w:lang w:val="en-US" w:eastAsia="en-US" w:bidi="ar-SA"/>
      </w:rPr>
    </w:lvl>
    <w:lvl w:ilvl="2">
      <w:start w:val="0"/>
      <w:numFmt w:val="bullet"/>
      <w:lvlText w:val="•"/>
      <w:lvlJc w:val="left"/>
      <w:pPr>
        <w:ind w:left="2217" w:hanging="240"/>
      </w:pPr>
      <w:rPr>
        <w:rFonts w:hint="default"/>
        <w:lang w:val="en-US" w:eastAsia="en-US" w:bidi="ar-SA"/>
      </w:rPr>
    </w:lvl>
    <w:lvl w:ilvl="3">
      <w:start w:val="0"/>
      <w:numFmt w:val="bullet"/>
      <w:lvlText w:val="•"/>
      <w:lvlJc w:val="left"/>
      <w:pPr>
        <w:ind w:left="3055" w:hanging="240"/>
      </w:pPr>
      <w:rPr>
        <w:rFonts w:hint="default"/>
        <w:lang w:val="en-US" w:eastAsia="en-US" w:bidi="ar-SA"/>
      </w:rPr>
    </w:lvl>
    <w:lvl w:ilvl="4">
      <w:start w:val="0"/>
      <w:numFmt w:val="bullet"/>
      <w:lvlText w:val="•"/>
      <w:lvlJc w:val="left"/>
      <w:pPr>
        <w:ind w:left="3894" w:hanging="240"/>
      </w:pPr>
      <w:rPr>
        <w:rFonts w:hint="default"/>
        <w:lang w:val="en-US" w:eastAsia="en-US" w:bidi="ar-SA"/>
      </w:rPr>
    </w:lvl>
    <w:lvl w:ilvl="5">
      <w:start w:val="0"/>
      <w:numFmt w:val="bullet"/>
      <w:lvlText w:val="•"/>
      <w:lvlJc w:val="left"/>
      <w:pPr>
        <w:ind w:left="4733" w:hanging="240"/>
      </w:pPr>
      <w:rPr>
        <w:rFonts w:hint="default"/>
        <w:lang w:val="en-US" w:eastAsia="en-US" w:bidi="ar-SA"/>
      </w:rPr>
    </w:lvl>
    <w:lvl w:ilvl="6">
      <w:start w:val="0"/>
      <w:numFmt w:val="bullet"/>
      <w:lvlText w:val="•"/>
      <w:lvlJc w:val="left"/>
      <w:pPr>
        <w:ind w:left="5571" w:hanging="240"/>
      </w:pPr>
      <w:rPr>
        <w:rFonts w:hint="default"/>
        <w:lang w:val="en-US" w:eastAsia="en-US" w:bidi="ar-SA"/>
      </w:rPr>
    </w:lvl>
    <w:lvl w:ilvl="7">
      <w:start w:val="0"/>
      <w:numFmt w:val="bullet"/>
      <w:lvlText w:val="•"/>
      <w:lvlJc w:val="left"/>
      <w:pPr>
        <w:ind w:left="6410" w:hanging="240"/>
      </w:pPr>
      <w:rPr>
        <w:rFonts w:hint="default"/>
        <w:lang w:val="en-US" w:eastAsia="en-US" w:bidi="ar-SA"/>
      </w:rPr>
    </w:lvl>
    <w:lvl w:ilvl="8">
      <w:start w:val="0"/>
      <w:numFmt w:val="bullet"/>
      <w:lvlText w:val="•"/>
      <w:lvlJc w:val="left"/>
      <w:pPr>
        <w:ind w:left="7249" w:hanging="240"/>
      </w:pPr>
      <w:rPr>
        <w:rFonts w:hint="default"/>
        <w:lang w:val="en-US" w:eastAsia="en-US" w:bidi="ar-SA"/>
      </w:rPr>
    </w:lvl>
  </w:abstractNum>
  <w:abstractNum w:abstractNumId="27">
    <w:multiLevelType w:val="hybridMultilevel"/>
    <w:lvl w:ilvl="0">
      <w:start w:val="1"/>
      <w:numFmt w:val="decimal"/>
      <w:lvlText w:val="%1."/>
      <w:lvlJc w:val="left"/>
      <w:pPr>
        <w:ind w:left="540" w:hanging="240"/>
        <w:jc w:val="left"/>
      </w:pPr>
      <w:rPr>
        <w:rFonts w:hint="default" w:ascii="Times New Roman" w:hAnsi="Times New Roman" w:eastAsia="Times New Roman" w:cs="Times New Roman"/>
        <w:spacing w:val="-3"/>
        <w:w w:val="99"/>
        <w:sz w:val="24"/>
        <w:szCs w:val="24"/>
        <w:lang w:val="en-US" w:eastAsia="en-US" w:bidi="ar-SA"/>
      </w:rPr>
    </w:lvl>
    <w:lvl w:ilvl="1">
      <w:start w:val="0"/>
      <w:numFmt w:val="bullet"/>
      <w:lvlText w:val="•"/>
      <w:lvlJc w:val="left"/>
      <w:pPr>
        <w:ind w:left="1378" w:hanging="240"/>
      </w:pPr>
      <w:rPr>
        <w:rFonts w:hint="default"/>
        <w:lang w:val="en-US" w:eastAsia="en-US" w:bidi="ar-SA"/>
      </w:rPr>
    </w:lvl>
    <w:lvl w:ilvl="2">
      <w:start w:val="0"/>
      <w:numFmt w:val="bullet"/>
      <w:lvlText w:val="•"/>
      <w:lvlJc w:val="left"/>
      <w:pPr>
        <w:ind w:left="2217" w:hanging="240"/>
      </w:pPr>
      <w:rPr>
        <w:rFonts w:hint="default"/>
        <w:lang w:val="en-US" w:eastAsia="en-US" w:bidi="ar-SA"/>
      </w:rPr>
    </w:lvl>
    <w:lvl w:ilvl="3">
      <w:start w:val="0"/>
      <w:numFmt w:val="bullet"/>
      <w:lvlText w:val="•"/>
      <w:lvlJc w:val="left"/>
      <w:pPr>
        <w:ind w:left="3055" w:hanging="240"/>
      </w:pPr>
      <w:rPr>
        <w:rFonts w:hint="default"/>
        <w:lang w:val="en-US" w:eastAsia="en-US" w:bidi="ar-SA"/>
      </w:rPr>
    </w:lvl>
    <w:lvl w:ilvl="4">
      <w:start w:val="0"/>
      <w:numFmt w:val="bullet"/>
      <w:lvlText w:val="•"/>
      <w:lvlJc w:val="left"/>
      <w:pPr>
        <w:ind w:left="3894" w:hanging="240"/>
      </w:pPr>
      <w:rPr>
        <w:rFonts w:hint="default"/>
        <w:lang w:val="en-US" w:eastAsia="en-US" w:bidi="ar-SA"/>
      </w:rPr>
    </w:lvl>
    <w:lvl w:ilvl="5">
      <w:start w:val="0"/>
      <w:numFmt w:val="bullet"/>
      <w:lvlText w:val="•"/>
      <w:lvlJc w:val="left"/>
      <w:pPr>
        <w:ind w:left="4733" w:hanging="240"/>
      </w:pPr>
      <w:rPr>
        <w:rFonts w:hint="default"/>
        <w:lang w:val="en-US" w:eastAsia="en-US" w:bidi="ar-SA"/>
      </w:rPr>
    </w:lvl>
    <w:lvl w:ilvl="6">
      <w:start w:val="0"/>
      <w:numFmt w:val="bullet"/>
      <w:lvlText w:val="•"/>
      <w:lvlJc w:val="left"/>
      <w:pPr>
        <w:ind w:left="5571" w:hanging="240"/>
      </w:pPr>
      <w:rPr>
        <w:rFonts w:hint="default"/>
        <w:lang w:val="en-US" w:eastAsia="en-US" w:bidi="ar-SA"/>
      </w:rPr>
    </w:lvl>
    <w:lvl w:ilvl="7">
      <w:start w:val="0"/>
      <w:numFmt w:val="bullet"/>
      <w:lvlText w:val="•"/>
      <w:lvlJc w:val="left"/>
      <w:pPr>
        <w:ind w:left="6410" w:hanging="240"/>
      </w:pPr>
      <w:rPr>
        <w:rFonts w:hint="default"/>
        <w:lang w:val="en-US" w:eastAsia="en-US" w:bidi="ar-SA"/>
      </w:rPr>
    </w:lvl>
    <w:lvl w:ilvl="8">
      <w:start w:val="0"/>
      <w:numFmt w:val="bullet"/>
      <w:lvlText w:val="•"/>
      <w:lvlJc w:val="left"/>
      <w:pPr>
        <w:ind w:left="7249" w:hanging="240"/>
      </w:pPr>
      <w:rPr>
        <w:rFonts w:hint="default"/>
        <w:lang w:val="en-US" w:eastAsia="en-US" w:bidi="ar-SA"/>
      </w:rPr>
    </w:lvl>
  </w:abstractNum>
  <w:abstractNum w:abstractNumId="26">
    <w:multiLevelType w:val="hybridMultilevel"/>
    <w:lvl w:ilvl="0">
      <w:start w:val="1"/>
      <w:numFmt w:val="decimal"/>
      <w:lvlText w:val="%1."/>
      <w:lvlJc w:val="left"/>
      <w:pPr>
        <w:ind w:left="300" w:hanging="252"/>
        <w:jc w:val="left"/>
      </w:pPr>
      <w:rPr>
        <w:rFonts w:hint="default" w:ascii="Times New Roman" w:hAnsi="Times New Roman" w:eastAsia="Times New Roman" w:cs="Times New Roman"/>
        <w:w w:val="100"/>
        <w:sz w:val="24"/>
        <w:szCs w:val="24"/>
        <w:lang w:val="en-US" w:eastAsia="en-US" w:bidi="ar-SA"/>
      </w:rPr>
    </w:lvl>
    <w:lvl w:ilvl="1">
      <w:start w:val="0"/>
      <w:numFmt w:val="bullet"/>
      <w:lvlText w:val=""/>
      <w:lvlJc w:val="left"/>
      <w:pPr>
        <w:ind w:left="1020" w:hanging="360"/>
      </w:pPr>
      <w:rPr>
        <w:rFonts w:hint="default" w:ascii="Symbol" w:hAnsi="Symbol" w:eastAsia="Symbol" w:cs="Symbol"/>
        <w:w w:val="100"/>
        <w:sz w:val="24"/>
        <w:szCs w:val="24"/>
        <w:lang w:val="en-US" w:eastAsia="en-US" w:bidi="ar-SA"/>
      </w:rPr>
    </w:lvl>
    <w:lvl w:ilvl="2">
      <w:start w:val="0"/>
      <w:numFmt w:val="bullet"/>
      <w:lvlText w:val="•"/>
      <w:lvlJc w:val="left"/>
      <w:pPr>
        <w:ind w:left="1898" w:hanging="360"/>
      </w:pPr>
      <w:rPr>
        <w:rFonts w:hint="default"/>
        <w:lang w:val="en-US" w:eastAsia="en-US" w:bidi="ar-SA"/>
      </w:rPr>
    </w:lvl>
    <w:lvl w:ilvl="3">
      <w:start w:val="0"/>
      <w:numFmt w:val="bullet"/>
      <w:lvlText w:val="•"/>
      <w:lvlJc w:val="left"/>
      <w:pPr>
        <w:ind w:left="2776" w:hanging="360"/>
      </w:pPr>
      <w:rPr>
        <w:rFonts w:hint="default"/>
        <w:lang w:val="en-US" w:eastAsia="en-US" w:bidi="ar-SA"/>
      </w:rPr>
    </w:lvl>
    <w:lvl w:ilvl="4">
      <w:start w:val="0"/>
      <w:numFmt w:val="bullet"/>
      <w:lvlText w:val="•"/>
      <w:lvlJc w:val="left"/>
      <w:pPr>
        <w:ind w:left="3655" w:hanging="360"/>
      </w:pPr>
      <w:rPr>
        <w:rFonts w:hint="default"/>
        <w:lang w:val="en-US" w:eastAsia="en-US" w:bidi="ar-SA"/>
      </w:rPr>
    </w:lvl>
    <w:lvl w:ilvl="5">
      <w:start w:val="0"/>
      <w:numFmt w:val="bullet"/>
      <w:lvlText w:val="•"/>
      <w:lvlJc w:val="left"/>
      <w:pPr>
        <w:ind w:left="4533" w:hanging="360"/>
      </w:pPr>
      <w:rPr>
        <w:rFonts w:hint="default"/>
        <w:lang w:val="en-US" w:eastAsia="en-US" w:bidi="ar-SA"/>
      </w:rPr>
    </w:lvl>
    <w:lvl w:ilvl="6">
      <w:start w:val="0"/>
      <w:numFmt w:val="bullet"/>
      <w:lvlText w:val="•"/>
      <w:lvlJc w:val="left"/>
      <w:pPr>
        <w:ind w:left="5412" w:hanging="360"/>
      </w:pPr>
      <w:rPr>
        <w:rFonts w:hint="default"/>
        <w:lang w:val="en-US" w:eastAsia="en-US" w:bidi="ar-SA"/>
      </w:rPr>
    </w:lvl>
    <w:lvl w:ilvl="7">
      <w:start w:val="0"/>
      <w:numFmt w:val="bullet"/>
      <w:lvlText w:val="•"/>
      <w:lvlJc w:val="left"/>
      <w:pPr>
        <w:ind w:left="6290" w:hanging="360"/>
      </w:pPr>
      <w:rPr>
        <w:rFonts w:hint="default"/>
        <w:lang w:val="en-US" w:eastAsia="en-US" w:bidi="ar-SA"/>
      </w:rPr>
    </w:lvl>
    <w:lvl w:ilvl="8">
      <w:start w:val="0"/>
      <w:numFmt w:val="bullet"/>
      <w:lvlText w:val="•"/>
      <w:lvlJc w:val="left"/>
      <w:pPr>
        <w:ind w:left="7169" w:hanging="360"/>
      </w:pPr>
      <w:rPr>
        <w:rFonts w:hint="default"/>
        <w:lang w:val="en-US" w:eastAsia="en-US" w:bidi="ar-SA"/>
      </w:rPr>
    </w:lvl>
  </w:abstractNum>
  <w:abstractNum w:abstractNumId="25">
    <w:multiLevelType w:val="hybridMultilevel"/>
    <w:lvl w:ilvl="0">
      <w:start w:val="1"/>
      <w:numFmt w:val="decimal"/>
      <w:lvlText w:val="%1."/>
      <w:lvlJc w:val="left"/>
      <w:pPr>
        <w:ind w:left="300" w:hanging="267"/>
        <w:jc w:val="left"/>
      </w:pPr>
      <w:rPr>
        <w:rFonts w:hint="default"/>
        <w:w w:val="100"/>
        <w:lang w:val="en-US" w:eastAsia="en-US" w:bidi="ar-SA"/>
      </w:rPr>
    </w:lvl>
    <w:lvl w:ilvl="1">
      <w:start w:val="0"/>
      <w:numFmt w:val="bullet"/>
      <w:lvlText w:val="•"/>
      <w:lvlJc w:val="left"/>
      <w:pPr>
        <w:ind w:left="1162" w:hanging="267"/>
      </w:pPr>
      <w:rPr>
        <w:rFonts w:hint="default"/>
        <w:lang w:val="en-US" w:eastAsia="en-US" w:bidi="ar-SA"/>
      </w:rPr>
    </w:lvl>
    <w:lvl w:ilvl="2">
      <w:start w:val="0"/>
      <w:numFmt w:val="bullet"/>
      <w:lvlText w:val="•"/>
      <w:lvlJc w:val="left"/>
      <w:pPr>
        <w:ind w:left="2025" w:hanging="267"/>
      </w:pPr>
      <w:rPr>
        <w:rFonts w:hint="default"/>
        <w:lang w:val="en-US" w:eastAsia="en-US" w:bidi="ar-SA"/>
      </w:rPr>
    </w:lvl>
    <w:lvl w:ilvl="3">
      <w:start w:val="0"/>
      <w:numFmt w:val="bullet"/>
      <w:lvlText w:val="•"/>
      <w:lvlJc w:val="left"/>
      <w:pPr>
        <w:ind w:left="2887" w:hanging="267"/>
      </w:pPr>
      <w:rPr>
        <w:rFonts w:hint="default"/>
        <w:lang w:val="en-US" w:eastAsia="en-US" w:bidi="ar-SA"/>
      </w:rPr>
    </w:lvl>
    <w:lvl w:ilvl="4">
      <w:start w:val="0"/>
      <w:numFmt w:val="bullet"/>
      <w:lvlText w:val="•"/>
      <w:lvlJc w:val="left"/>
      <w:pPr>
        <w:ind w:left="3750" w:hanging="267"/>
      </w:pPr>
      <w:rPr>
        <w:rFonts w:hint="default"/>
        <w:lang w:val="en-US" w:eastAsia="en-US" w:bidi="ar-SA"/>
      </w:rPr>
    </w:lvl>
    <w:lvl w:ilvl="5">
      <w:start w:val="0"/>
      <w:numFmt w:val="bullet"/>
      <w:lvlText w:val="•"/>
      <w:lvlJc w:val="left"/>
      <w:pPr>
        <w:ind w:left="4613" w:hanging="267"/>
      </w:pPr>
      <w:rPr>
        <w:rFonts w:hint="default"/>
        <w:lang w:val="en-US" w:eastAsia="en-US" w:bidi="ar-SA"/>
      </w:rPr>
    </w:lvl>
    <w:lvl w:ilvl="6">
      <w:start w:val="0"/>
      <w:numFmt w:val="bullet"/>
      <w:lvlText w:val="•"/>
      <w:lvlJc w:val="left"/>
      <w:pPr>
        <w:ind w:left="5475" w:hanging="267"/>
      </w:pPr>
      <w:rPr>
        <w:rFonts w:hint="default"/>
        <w:lang w:val="en-US" w:eastAsia="en-US" w:bidi="ar-SA"/>
      </w:rPr>
    </w:lvl>
    <w:lvl w:ilvl="7">
      <w:start w:val="0"/>
      <w:numFmt w:val="bullet"/>
      <w:lvlText w:val="•"/>
      <w:lvlJc w:val="left"/>
      <w:pPr>
        <w:ind w:left="6338" w:hanging="267"/>
      </w:pPr>
      <w:rPr>
        <w:rFonts w:hint="default"/>
        <w:lang w:val="en-US" w:eastAsia="en-US" w:bidi="ar-SA"/>
      </w:rPr>
    </w:lvl>
    <w:lvl w:ilvl="8">
      <w:start w:val="0"/>
      <w:numFmt w:val="bullet"/>
      <w:lvlText w:val="•"/>
      <w:lvlJc w:val="left"/>
      <w:pPr>
        <w:ind w:left="7201" w:hanging="267"/>
      </w:pPr>
      <w:rPr>
        <w:rFonts w:hint="default"/>
        <w:lang w:val="en-US" w:eastAsia="en-US" w:bidi="ar-SA"/>
      </w:rPr>
    </w:lvl>
  </w:abstractNum>
  <w:abstractNum w:abstractNumId="24">
    <w:multiLevelType w:val="hybridMultilevel"/>
    <w:lvl w:ilvl="0">
      <w:start w:val="1"/>
      <w:numFmt w:val="decimal"/>
      <w:lvlText w:val="%1."/>
      <w:lvlJc w:val="left"/>
      <w:pPr>
        <w:ind w:left="300" w:hanging="320"/>
        <w:jc w:val="left"/>
      </w:pPr>
      <w:rPr>
        <w:rFonts w:hint="default" w:ascii="Times New Roman" w:hAnsi="Times New Roman" w:eastAsia="Times New Roman" w:cs="Times New Roman"/>
        <w:b/>
        <w:bCs/>
        <w:spacing w:val="-15"/>
        <w:w w:val="99"/>
        <w:sz w:val="24"/>
        <w:szCs w:val="24"/>
        <w:lang w:val="en-US" w:eastAsia="en-US" w:bidi="ar-SA"/>
      </w:rPr>
    </w:lvl>
    <w:lvl w:ilvl="1">
      <w:start w:val="0"/>
      <w:numFmt w:val="bullet"/>
      <w:lvlText w:val="•"/>
      <w:lvlJc w:val="left"/>
      <w:pPr>
        <w:ind w:left="1162" w:hanging="320"/>
      </w:pPr>
      <w:rPr>
        <w:rFonts w:hint="default"/>
        <w:lang w:val="en-US" w:eastAsia="en-US" w:bidi="ar-SA"/>
      </w:rPr>
    </w:lvl>
    <w:lvl w:ilvl="2">
      <w:start w:val="0"/>
      <w:numFmt w:val="bullet"/>
      <w:lvlText w:val="•"/>
      <w:lvlJc w:val="left"/>
      <w:pPr>
        <w:ind w:left="2025" w:hanging="320"/>
      </w:pPr>
      <w:rPr>
        <w:rFonts w:hint="default"/>
        <w:lang w:val="en-US" w:eastAsia="en-US" w:bidi="ar-SA"/>
      </w:rPr>
    </w:lvl>
    <w:lvl w:ilvl="3">
      <w:start w:val="0"/>
      <w:numFmt w:val="bullet"/>
      <w:lvlText w:val="•"/>
      <w:lvlJc w:val="left"/>
      <w:pPr>
        <w:ind w:left="2887" w:hanging="320"/>
      </w:pPr>
      <w:rPr>
        <w:rFonts w:hint="default"/>
        <w:lang w:val="en-US" w:eastAsia="en-US" w:bidi="ar-SA"/>
      </w:rPr>
    </w:lvl>
    <w:lvl w:ilvl="4">
      <w:start w:val="0"/>
      <w:numFmt w:val="bullet"/>
      <w:lvlText w:val="•"/>
      <w:lvlJc w:val="left"/>
      <w:pPr>
        <w:ind w:left="3750" w:hanging="320"/>
      </w:pPr>
      <w:rPr>
        <w:rFonts w:hint="default"/>
        <w:lang w:val="en-US" w:eastAsia="en-US" w:bidi="ar-SA"/>
      </w:rPr>
    </w:lvl>
    <w:lvl w:ilvl="5">
      <w:start w:val="0"/>
      <w:numFmt w:val="bullet"/>
      <w:lvlText w:val="•"/>
      <w:lvlJc w:val="left"/>
      <w:pPr>
        <w:ind w:left="4613" w:hanging="320"/>
      </w:pPr>
      <w:rPr>
        <w:rFonts w:hint="default"/>
        <w:lang w:val="en-US" w:eastAsia="en-US" w:bidi="ar-SA"/>
      </w:rPr>
    </w:lvl>
    <w:lvl w:ilvl="6">
      <w:start w:val="0"/>
      <w:numFmt w:val="bullet"/>
      <w:lvlText w:val="•"/>
      <w:lvlJc w:val="left"/>
      <w:pPr>
        <w:ind w:left="5475" w:hanging="320"/>
      </w:pPr>
      <w:rPr>
        <w:rFonts w:hint="default"/>
        <w:lang w:val="en-US" w:eastAsia="en-US" w:bidi="ar-SA"/>
      </w:rPr>
    </w:lvl>
    <w:lvl w:ilvl="7">
      <w:start w:val="0"/>
      <w:numFmt w:val="bullet"/>
      <w:lvlText w:val="•"/>
      <w:lvlJc w:val="left"/>
      <w:pPr>
        <w:ind w:left="6338" w:hanging="320"/>
      </w:pPr>
      <w:rPr>
        <w:rFonts w:hint="default"/>
        <w:lang w:val="en-US" w:eastAsia="en-US" w:bidi="ar-SA"/>
      </w:rPr>
    </w:lvl>
    <w:lvl w:ilvl="8">
      <w:start w:val="0"/>
      <w:numFmt w:val="bullet"/>
      <w:lvlText w:val="•"/>
      <w:lvlJc w:val="left"/>
      <w:pPr>
        <w:ind w:left="7201" w:hanging="320"/>
      </w:pPr>
      <w:rPr>
        <w:rFonts w:hint="default"/>
        <w:lang w:val="en-US" w:eastAsia="en-US" w:bidi="ar-SA"/>
      </w:rPr>
    </w:lvl>
  </w:abstractNum>
  <w:abstractNum w:abstractNumId="23">
    <w:multiLevelType w:val="hybridMultilevel"/>
    <w:lvl w:ilvl="0">
      <w:start w:val="1"/>
      <w:numFmt w:val="decimal"/>
      <w:lvlText w:val="%1."/>
      <w:lvlJc w:val="left"/>
      <w:pPr>
        <w:ind w:left="540" w:hanging="240"/>
        <w:jc w:val="left"/>
      </w:pPr>
      <w:rPr>
        <w:rFonts w:hint="default" w:ascii="Times New Roman" w:hAnsi="Times New Roman" w:eastAsia="Times New Roman" w:cs="Times New Roman"/>
        <w:b/>
        <w:bCs/>
        <w:spacing w:val="-5"/>
        <w:w w:val="99"/>
        <w:sz w:val="24"/>
        <w:szCs w:val="24"/>
        <w:lang w:val="en-US" w:eastAsia="en-US" w:bidi="ar-SA"/>
      </w:rPr>
    </w:lvl>
    <w:lvl w:ilvl="1">
      <w:start w:val="0"/>
      <w:numFmt w:val="bullet"/>
      <w:lvlText w:val="•"/>
      <w:lvlJc w:val="left"/>
      <w:pPr>
        <w:ind w:left="1378" w:hanging="240"/>
      </w:pPr>
      <w:rPr>
        <w:rFonts w:hint="default"/>
        <w:lang w:val="en-US" w:eastAsia="en-US" w:bidi="ar-SA"/>
      </w:rPr>
    </w:lvl>
    <w:lvl w:ilvl="2">
      <w:start w:val="0"/>
      <w:numFmt w:val="bullet"/>
      <w:lvlText w:val="•"/>
      <w:lvlJc w:val="left"/>
      <w:pPr>
        <w:ind w:left="2217" w:hanging="240"/>
      </w:pPr>
      <w:rPr>
        <w:rFonts w:hint="default"/>
        <w:lang w:val="en-US" w:eastAsia="en-US" w:bidi="ar-SA"/>
      </w:rPr>
    </w:lvl>
    <w:lvl w:ilvl="3">
      <w:start w:val="0"/>
      <w:numFmt w:val="bullet"/>
      <w:lvlText w:val="•"/>
      <w:lvlJc w:val="left"/>
      <w:pPr>
        <w:ind w:left="3055" w:hanging="240"/>
      </w:pPr>
      <w:rPr>
        <w:rFonts w:hint="default"/>
        <w:lang w:val="en-US" w:eastAsia="en-US" w:bidi="ar-SA"/>
      </w:rPr>
    </w:lvl>
    <w:lvl w:ilvl="4">
      <w:start w:val="0"/>
      <w:numFmt w:val="bullet"/>
      <w:lvlText w:val="•"/>
      <w:lvlJc w:val="left"/>
      <w:pPr>
        <w:ind w:left="3894" w:hanging="240"/>
      </w:pPr>
      <w:rPr>
        <w:rFonts w:hint="default"/>
        <w:lang w:val="en-US" w:eastAsia="en-US" w:bidi="ar-SA"/>
      </w:rPr>
    </w:lvl>
    <w:lvl w:ilvl="5">
      <w:start w:val="0"/>
      <w:numFmt w:val="bullet"/>
      <w:lvlText w:val="•"/>
      <w:lvlJc w:val="left"/>
      <w:pPr>
        <w:ind w:left="4733" w:hanging="240"/>
      </w:pPr>
      <w:rPr>
        <w:rFonts w:hint="default"/>
        <w:lang w:val="en-US" w:eastAsia="en-US" w:bidi="ar-SA"/>
      </w:rPr>
    </w:lvl>
    <w:lvl w:ilvl="6">
      <w:start w:val="0"/>
      <w:numFmt w:val="bullet"/>
      <w:lvlText w:val="•"/>
      <w:lvlJc w:val="left"/>
      <w:pPr>
        <w:ind w:left="5571" w:hanging="240"/>
      </w:pPr>
      <w:rPr>
        <w:rFonts w:hint="default"/>
        <w:lang w:val="en-US" w:eastAsia="en-US" w:bidi="ar-SA"/>
      </w:rPr>
    </w:lvl>
    <w:lvl w:ilvl="7">
      <w:start w:val="0"/>
      <w:numFmt w:val="bullet"/>
      <w:lvlText w:val="•"/>
      <w:lvlJc w:val="left"/>
      <w:pPr>
        <w:ind w:left="6410" w:hanging="240"/>
      </w:pPr>
      <w:rPr>
        <w:rFonts w:hint="default"/>
        <w:lang w:val="en-US" w:eastAsia="en-US" w:bidi="ar-SA"/>
      </w:rPr>
    </w:lvl>
    <w:lvl w:ilvl="8">
      <w:start w:val="0"/>
      <w:numFmt w:val="bullet"/>
      <w:lvlText w:val="•"/>
      <w:lvlJc w:val="left"/>
      <w:pPr>
        <w:ind w:left="7249" w:hanging="240"/>
      </w:pPr>
      <w:rPr>
        <w:rFonts w:hint="default"/>
        <w:lang w:val="en-US" w:eastAsia="en-US" w:bidi="ar-SA"/>
      </w:rPr>
    </w:lvl>
  </w:abstractNum>
  <w:abstractNum w:abstractNumId="22">
    <w:multiLevelType w:val="hybridMultilevel"/>
    <w:lvl w:ilvl="0">
      <w:start w:val="2"/>
      <w:numFmt w:val="decimal"/>
      <w:lvlText w:val="%1."/>
      <w:lvlJc w:val="left"/>
      <w:pPr>
        <w:ind w:left="300" w:hanging="298"/>
        <w:jc w:val="left"/>
      </w:pPr>
      <w:rPr>
        <w:rFonts w:hint="default" w:ascii="Times New Roman" w:hAnsi="Times New Roman" w:eastAsia="Times New Roman" w:cs="Times New Roman"/>
        <w:b/>
        <w:bCs/>
        <w:spacing w:val="-30"/>
        <w:w w:val="99"/>
        <w:sz w:val="24"/>
        <w:szCs w:val="24"/>
        <w:lang w:val="en-US" w:eastAsia="en-US" w:bidi="ar-SA"/>
      </w:rPr>
    </w:lvl>
    <w:lvl w:ilvl="1">
      <w:start w:val="0"/>
      <w:numFmt w:val="bullet"/>
      <w:lvlText w:val="•"/>
      <w:lvlJc w:val="left"/>
      <w:pPr>
        <w:ind w:left="1162" w:hanging="298"/>
      </w:pPr>
      <w:rPr>
        <w:rFonts w:hint="default"/>
        <w:lang w:val="en-US" w:eastAsia="en-US" w:bidi="ar-SA"/>
      </w:rPr>
    </w:lvl>
    <w:lvl w:ilvl="2">
      <w:start w:val="0"/>
      <w:numFmt w:val="bullet"/>
      <w:lvlText w:val="•"/>
      <w:lvlJc w:val="left"/>
      <w:pPr>
        <w:ind w:left="2025" w:hanging="298"/>
      </w:pPr>
      <w:rPr>
        <w:rFonts w:hint="default"/>
        <w:lang w:val="en-US" w:eastAsia="en-US" w:bidi="ar-SA"/>
      </w:rPr>
    </w:lvl>
    <w:lvl w:ilvl="3">
      <w:start w:val="0"/>
      <w:numFmt w:val="bullet"/>
      <w:lvlText w:val="•"/>
      <w:lvlJc w:val="left"/>
      <w:pPr>
        <w:ind w:left="2887" w:hanging="298"/>
      </w:pPr>
      <w:rPr>
        <w:rFonts w:hint="default"/>
        <w:lang w:val="en-US" w:eastAsia="en-US" w:bidi="ar-SA"/>
      </w:rPr>
    </w:lvl>
    <w:lvl w:ilvl="4">
      <w:start w:val="0"/>
      <w:numFmt w:val="bullet"/>
      <w:lvlText w:val="•"/>
      <w:lvlJc w:val="left"/>
      <w:pPr>
        <w:ind w:left="3750" w:hanging="298"/>
      </w:pPr>
      <w:rPr>
        <w:rFonts w:hint="default"/>
        <w:lang w:val="en-US" w:eastAsia="en-US" w:bidi="ar-SA"/>
      </w:rPr>
    </w:lvl>
    <w:lvl w:ilvl="5">
      <w:start w:val="0"/>
      <w:numFmt w:val="bullet"/>
      <w:lvlText w:val="•"/>
      <w:lvlJc w:val="left"/>
      <w:pPr>
        <w:ind w:left="4613" w:hanging="298"/>
      </w:pPr>
      <w:rPr>
        <w:rFonts w:hint="default"/>
        <w:lang w:val="en-US" w:eastAsia="en-US" w:bidi="ar-SA"/>
      </w:rPr>
    </w:lvl>
    <w:lvl w:ilvl="6">
      <w:start w:val="0"/>
      <w:numFmt w:val="bullet"/>
      <w:lvlText w:val="•"/>
      <w:lvlJc w:val="left"/>
      <w:pPr>
        <w:ind w:left="5475" w:hanging="298"/>
      </w:pPr>
      <w:rPr>
        <w:rFonts w:hint="default"/>
        <w:lang w:val="en-US" w:eastAsia="en-US" w:bidi="ar-SA"/>
      </w:rPr>
    </w:lvl>
    <w:lvl w:ilvl="7">
      <w:start w:val="0"/>
      <w:numFmt w:val="bullet"/>
      <w:lvlText w:val="•"/>
      <w:lvlJc w:val="left"/>
      <w:pPr>
        <w:ind w:left="6338" w:hanging="298"/>
      </w:pPr>
      <w:rPr>
        <w:rFonts w:hint="default"/>
        <w:lang w:val="en-US" w:eastAsia="en-US" w:bidi="ar-SA"/>
      </w:rPr>
    </w:lvl>
    <w:lvl w:ilvl="8">
      <w:start w:val="0"/>
      <w:numFmt w:val="bullet"/>
      <w:lvlText w:val="•"/>
      <w:lvlJc w:val="left"/>
      <w:pPr>
        <w:ind w:left="7201" w:hanging="298"/>
      </w:pPr>
      <w:rPr>
        <w:rFonts w:hint="default"/>
        <w:lang w:val="en-US" w:eastAsia="en-US" w:bidi="ar-SA"/>
      </w:rPr>
    </w:lvl>
  </w:abstractNum>
  <w:abstractNum w:abstractNumId="21">
    <w:multiLevelType w:val="hybridMultilevel"/>
    <w:lvl w:ilvl="0">
      <w:start w:val="1"/>
      <w:numFmt w:val="decimal"/>
      <w:lvlText w:val="%1."/>
      <w:lvlJc w:val="left"/>
      <w:pPr>
        <w:ind w:left="300" w:hanging="264"/>
        <w:jc w:val="left"/>
      </w:pPr>
      <w:rPr>
        <w:rFonts w:hint="default" w:ascii="Times New Roman" w:hAnsi="Times New Roman" w:eastAsia="Times New Roman" w:cs="Times New Roman"/>
        <w:b/>
        <w:bCs/>
        <w:w w:val="100"/>
        <w:sz w:val="24"/>
        <w:szCs w:val="24"/>
        <w:lang w:val="en-US" w:eastAsia="en-US" w:bidi="ar-SA"/>
      </w:rPr>
    </w:lvl>
    <w:lvl w:ilvl="1">
      <w:start w:val="0"/>
      <w:numFmt w:val="bullet"/>
      <w:lvlText w:val="•"/>
      <w:lvlJc w:val="left"/>
      <w:pPr>
        <w:ind w:left="1162" w:hanging="264"/>
      </w:pPr>
      <w:rPr>
        <w:rFonts w:hint="default"/>
        <w:lang w:val="en-US" w:eastAsia="en-US" w:bidi="ar-SA"/>
      </w:rPr>
    </w:lvl>
    <w:lvl w:ilvl="2">
      <w:start w:val="0"/>
      <w:numFmt w:val="bullet"/>
      <w:lvlText w:val="•"/>
      <w:lvlJc w:val="left"/>
      <w:pPr>
        <w:ind w:left="2025" w:hanging="264"/>
      </w:pPr>
      <w:rPr>
        <w:rFonts w:hint="default"/>
        <w:lang w:val="en-US" w:eastAsia="en-US" w:bidi="ar-SA"/>
      </w:rPr>
    </w:lvl>
    <w:lvl w:ilvl="3">
      <w:start w:val="0"/>
      <w:numFmt w:val="bullet"/>
      <w:lvlText w:val="•"/>
      <w:lvlJc w:val="left"/>
      <w:pPr>
        <w:ind w:left="2887" w:hanging="264"/>
      </w:pPr>
      <w:rPr>
        <w:rFonts w:hint="default"/>
        <w:lang w:val="en-US" w:eastAsia="en-US" w:bidi="ar-SA"/>
      </w:rPr>
    </w:lvl>
    <w:lvl w:ilvl="4">
      <w:start w:val="0"/>
      <w:numFmt w:val="bullet"/>
      <w:lvlText w:val="•"/>
      <w:lvlJc w:val="left"/>
      <w:pPr>
        <w:ind w:left="3750" w:hanging="264"/>
      </w:pPr>
      <w:rPr>
        <w:rFonts w:hint="default"/>
        <w:lang w:val="en-US" w:eastAsia="en-US" w:bidi="ar-SA"/>
      </w:rPr>
    </w:lvl>
    <w:lvl w:ilvl="5">
      <w:start w:val="0"/>
      <w:numFmt w:val="bullet"/>
      <w:lvlText w:val="•"/>
      <w:lvlJc w:val="left"/>
      <w:pPr>
        <w:ind w:left="4613" w:hanging="264"/>
      </w:pPr>
      <w:rPr>
        <w:rFonts w:hint="default"/>
        <w:lang w:val="en-US" w:eastAsia="en-US" w:bidi="ar-SA"/>
      </w:rPr>
    </w:lvl>
    <w:lvl w:ilvl="6">
      <w:start w:val="0"/>
      <w:numFmt w:val="bullet"/>
      <w:lvlText w:val="•"/>
      <w:lvlJc w:val="left"/>
      <w:pPr>
        <w:ind w:left="5475" w:hanging="264"/>
      </w:pPr>
      <w:rPr>
        <w:rFonts w:hint="default"/>
        <w:lang w:val="en-US" w:eastAsia="en-US" w:bidi="ar-SA"/>
      </w:rPr>
    </w:lvl>
    <w:lvl w:ilvl="7">
      <w:start w:val="0"/>
      <w:numFmt w:val="bullet"/>
      <w:lvlText w:val="•"/>
      <w:lvlJc w:val="left"/>
      <w:pPr>
        <w:ind w:left="6338" w:hanging="264"/>
      </w:pPr>
      <w:rPr>
        <w:rFonts w:hint="default"/>
        <w:lang w:val="en-US" w:eastAsia="en-US" w:bidi="ar-SA"/>
      </w:rPr>
    </w:lvl>
    <w:lvl w:ilvl="8">
      <w:start w:val="0"/>
      <w:numFmt w:val="bullet"/>
      <w:lvlText w:val="•"/>
      <w:lvlJc w:val="left"/>
      <w:pPr>
        <w:ind w:left="7201" w:hanging="264"/>
      </w:pPr>
      <w:rPr>
        <w:rFonts w:hint="default"/>
        <w:lang w:val="en-US" w:eastAsia="en-US" w:bidi="ar-SA"/>
      </w:rPr>
    </w:lvl>
  </w:abstractNum>
  <w:abstractNum w:abstractNumId="20">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29"/>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19">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8"/>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18">
    <w:multiLevelType w:val="hybridMultilevel"/>
    <w:lvl w:ilvl="0">
      <w:start w:val="0"/>
      <w:numFmt w:val="bullet"/>
      <w:lvlText w:val="o"/>
      <w:lvlJc w:val="left"/>
      <w:pPr>
        <w:ind w:left="1380" w:hanging="360"/>
      </w:pPr>
      <w:rPr>
        <w:rFonts w:hint="default" w:ascii="Courier New" w:hAnsi="Courier New" w:eastAsia="Courier New" w:cs="Courier New"/>
        <w:w w:val="99"/>
        <w:sz w:val="24"/>
        <w:szCs w:val="24"/>
        <w:lang w:val="en-US" w:eastAsia="en-US" w:bidi="ar-SA"/>
      </w:rPr>
    </w:lvl>
    <w:lvl w:ilvl="1">
      <w:start w:val="0"/>
      <w:numFmt w:val="bullet"/>
      <w:lvlText w:val="•"/>
      <w:lvlJc w:val="left"/>
      <w:pPr>
        <w:ind w:left="2134" w:hanging="360"/>
      </w:pPr>
      <w:rPr>
        <w:rFonts w:hint="default"/>
        <w:lang w:val="en-US" w:eastAsia="en-US" w:bidi="ar-SA"/>
      </w:rPr>
    </w:lvl>
    <w:lvl w:ilvl="2">
      <w:start w:val="0"/>
      <w:numFmt w:val="bullet"/>
      <w:lvlText w:val="•"/>
      <w:lvlJc w:val="left"/>
      <w:pPr>
        <w:ind w:left="2889" w:hanging="360"/>
      </w:pPr>
      <w:rPr>
        <w:rFonts w:hint="default"/>
        <w:lang w:val="en-US" w:eastAsia="en-US" w:bidi="ar-SA"/>
      </w:rPr>
    </w:lvl>
    <w:lvl w:ilvl="3">
      <w:start w:val="0"/>
      <w:numFmt w:val="bullet"/>
      <w:lvlText w:val="•"/>
      <w:lvlJc w:val="left"/>
      <w:pPr>
        <w:ind w:left="3643" w:hanging="360"/>
      </w:pPr>
      <w:rPr>
        <w:rFonts w:hint="default"/>
        <w:lang w:val="en-US" w:eastAsia="en-US" w:bidi="ar-SA"/>
      </w:rPr>
    </w:lvl>
    <w:lvl w:ilvl="4">
      <w:start w:val="0"/>
      <w:numFmt w:val="bullet"/>
      <w:lvlText w:val="•"/>
      <w:lvlJc w:val="left"/>
      <w:pPr>
        <w:ind w:left="4398" w:hanging="360"/>
      </w:pPr>
      <w:rPr>
        <w:rFonts w:hint="default"/>
        <w:lang w:val="en-US" w:eastAsia="en-US" w:bidi="ar-SA"/>
      </w:rPr>
    </w:lvl>
    <w:lvl w:ilvl="5">
      <w:start w:val="0"/>
      <w:numFmt w:val="bullet"/>
      <w:lvlText w:val="•"/>
      <w:lvlJc w:val="left"/>
      <w:pPr>
        <w:ind w:left="5153" w:hanging="360"/>
      </w:pPr>
      <w:rPr>
        <w:rFonts w:hint="default"/>
        <w:lang w:val="en-US" w:eastAsia="en-US" w:bidi="ar-SA"/>
      </w:rPr>
    </w:lvl>
    <w:lvl w:ilvl="6">
      <w:start w:val="0"/>
      <w:numFmt w:val="bullet"/>
      <w:lvlText w:val="•"/>
      <w:lvlJc w:val="left"/>
      <w:pPr>
        <w:ind w:left="5907" w:hanging="360"/>
      </w:pPr>
      <w:rPr>
        <w:rFonts w:hint="default"/>
        <w:lang w:val="en-US" w:eastAsia="en-US" w:bidi="ar-SA"/>
      </w:rPr>
    </w:lvl>
    <w:lvl w:ilvl="7">
      <w:start w:val="0"/>
      <w:numFmt w:val="bullet"/>
      <w:lvlText w:val="•"/>
      <w:lvlJc w:val="left"/>
      <w:pPr>
        <w:ind w:left="6662" w:hanging="360"/>
      </w:pPr>
      <w:rPr>
        <w:rFonts w:hint="default"/>
        <w:lang w:val="en-US" w:eastAsia="en-US" w:bidi="ar-SA"/>
      </w:rPr>
    </w:lvl>
    <w:lvl w:ilvl="8">
      <w:start w:val="0"/>
      <w:numFmt w:val="bullet"/>
      <w:lvlText w:val="•"/>
      <w:lvlJc w:val="left"/>
      <w:pPr>
        <w:ind w:left="7417" w:hanging="360"/>
      </w:pPr>
      <w:rPr>
        <w:rFonts w:hint="default"/>
        <w:lang w:val="en-US" w:eastAsia="en-US" w:bidi="ar-SA"/>
      </w:rPr>
    </w:lvl>
  </w:abstractNum>
  <w:abstractNum w:abstractNumId="17">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5"/>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16">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17"/>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15">
    <w:multiLevelType w:val="hybridMultilevel"/>
    <w:lvl w:ilvl="0">
      <w:start w:val="1"/>
      <w:numFmt w:val="lowerRoman"/>
      <w:lvlText w:val="%1."/>
      <w:lvlJc w:val="left"/>
      <w:pPr>
        <w:ind w:left="1080" w:hanging="488"/>
        <w:jc w:val="right"/>
      </w:pPr>
      <w:rPr>
        <w:rFonts w:hint="default" w:ascii="Times New Roman" w:hAnsi="Times New Roman" w:eastAsia="Times New Roman" w:cs="Times New Roman"/>
        <w:spacing w:val="-3"/>
        <w:w w:val="99"/>
        <w:sz w:val="24"/>
        <w:szCs w:val="24"/>
        <w:lang w:val="en-US" w:eastAsia="en-US" w:bidi="ar-SA"/>
      </w:rPr>
    </w:lvl>
    <w:lvl w:ilvl="1">
      <w:start w:val="0"/>
      <w:numFmt w:val="bullet"/>
      <w:lvlText w:val="•"/>
      <w:lvlJc w:val="left"/>
      <w:pPr>
        <w:ind w:left="1864" w:hanging="488"/>
      </w:pPr>
      <w:rPr>
        <w:rFonts w:hint="default"/>
        <w:lang w:val="en-US" w:eastAsia="en-US" w:bidi="ar-SA"/>
      </w:rPr>
    </w:lvl>
    <w:lvl w:ilvl="2">
      <w:start w:val="0"/>
      <w:numFmt w:val="bullet"/>
      <w:lvlText w:val="•"/>
      <w:lvlJc w:val="left"/>
      <w:pPr>
        <w:ind w:left="2649" w:hanging="488"/>
      </w:pPr>
      <w:rPr>
        <w:rFonts w:hint="default"/>
        <w:lang w:val="en-US" w:eastAsia="en-US" w:bidi="ar-SA"/>
      </w:rPr>
    </w:lvl>
    <w:lvl w:ilvl="3">
      <w:start w:val="0"/>
      <w:numFmt w:val="bullet"/>
      <w:lvlText w:val="•"/>
      <w:lvlJc w:val="left"/>
      <w:pPr>
        <w:ind w:left="3433" w:hanging="488"/>
      </w:pPr>
      <w:rPr>
        <w:rFonts w:hint="default"/>
        <w:lang w:val="en-US" w:eastAsia="en-US" w:bidi="ar-SA"/>
      </w:rPr>
    </w:lvl>
    <w:lvl w:ilvl="4">
      <w:start w:val="0"/>
      <w:numFmt w:val="bullet"/>
      <w:lvlText w:val="•"/>
      <w:lvlJc w:val="left"/>
      <w:pPr>
        <w:ind w:left="4218" w:hanging="488"/>
      </w:pPr>
      <w:rPr>
        <w:rFonts w:hint="default"/>
        <w:lang w:val="en-US" w:eastAsia="en-US" w:bidi="ar-SA"/>
      </w:rPr>
    </w:lvl>
    <w:lvl w:ilvl="5">
      <w:start w:val="0"/>
      <w:numFmt w:val="bullet"/>
      <w:lvlText w:val="•"/>
      <w:lvlJc w:val="left"/>
      <w:pPr>
        <w:ind w:left="5003" w:hanging="488"/>
      </w:pPr>
      <w:rPr>
        <w:rFonts w:hint="default"/>
        <w:lang w:val="en-US" w:eastAsia="en-US" w:bidi="ar-SA"/>
      </w:rPr>
    </w:lvl>
    <w:lvl w:ilvl="6">
      <w:start w:val="0"/>
      <w:numFmt w:val="bullet"/>
      <w:lvlText w:val="•"/>
      <w:lvlJc w:val="left"/>
      <w:pPr>
        <w:ind w:left="5787" w:hanging="488"/>
      </w:pPr>
      <w:rPr>
        <w:rFonts w:hint="default"/>
        <w:lang w:val="en-US" w:eastAsia="en-US" w:bidi="ar-SA"/>
      </w:rPr>
    </w:lvl>
    <w:lvl w:ilvl="7">
      <w:start w:val="0"/>
      <w:numFmt w:val="bullet"/>
      <w:lvlText w:val="•"/>
      <w:lvlJc w:val="left"/>
      <w:pPr>
        <w:ind w:left="6572" w:hanging="488"/>
      </w:pPr>
      <w:rPr>
        <w:rFonts w:hint="default"/>
        <w:lang w:val="en-US" w:eastAsia="en-US" w:bidi="ar-SA"/>
      </w:rPr>
    </w:lvl>
    <w:lvl w:ilvl="8">
      <w:start w:val="0"/>
      <w:numFmt w:val="bullet"/>
      <w:lvlText w:val="•"/>
      <w:lvlJc w:val="left"/>
      <w:pPr>
        <w:ind w:left="7357" w:hanging="488"/>
      </w:pPr>
      <w:rPr>
        <w:rFonts w:hint="default"/>
        <w:lang w:val="en-US" w:eastAsia="en-US" w:bidi="ar-SA"/>
      </w:rPr>
    </w:lvl>
  </w:abstractNum>
  <w:abstractNum w:abstractNumId="13">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6"/>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12">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29"/>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11">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22"/>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10">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30"/>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9">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25"/>
        <w:w w:val="83"/>
        <w:sz w:val="24"/>
        <w:szCs w:val="24"/>
        <w:lang w:val="en-US" w:eastAsia="en-US" w:bidi="ar-SA"/>
      </w:rPr>
    </w:lvl>
    <w:lvl w:ilvl="1">
      <w:start w:val="0"/>
      <w:numFmt w:val="bullet"/>
      <w:lvlText w:val=""/>
      <w:lvlJc w:val="left"/>
      <w:pPr>
        <w:ind w:left="1020" w:hanging="360"/>
      </w:pPr>
      <w:rPr>
        <w:rFonts w:hint="default" w:ascii="Symbol" w:hAnsi="Symbol" w:eastAsia="Symbol" w:cs="Symbol"/>
        <w:w w:val="100"/>
        <w:sz w:val="24"/>
        <w:szCs w:val="24"/>
        <w:lang w:val="en-US" w:eastAsia="en-US" w:bidi="ar-SA"/>
      </w:rPr>
    </w:lvl>
    <w:lvl w:ilvl="2">
      <w:start w:val="0"/>
      <w:numFmt w:val="bullet"/>
      <w:lvlText w:val="•"/>
      <w:lvlJc w:val="left"/>
      <w:pPr>
        <w:ind w:left="2601" w:hanging="360"/>
      </w:pPr>
      <w:rPr>
        <w:rFonts w:hint="default"/>
        <w:lang w:val="en-US" w:eastAsia="en-US" w:bidi="ar-SA"/>
      </w:rPr>
    </w:lvl>
    <w:lvl w:ilvl="3">
      <w:start w:val="0"/>
      <w:numFmt w:val="bullet"/>
      <w:lvlText w:val="•"/>
      <w:lvlJc w:val="left"/>
      <w:pPr>
        <w:ind w:left="3391" w:hanging="360"/>
      </w:pPr>
      <w:rPr>
        <w:rFonts w:hint="default"/>
        <w:lang w:val="en-US" w:eastAsia="en-US" w:bidi="ar-SA"/>
      </w:rPr>
    </w:lvl>
    <w:lvl w:ilvl="4">
      <w:start w:val="0"/>
      <w:numFmt w:val="bullet"/>
      <w:lvlText w:val="•"/>
      <w:lvlJc w:val="left"/>
      <w:pPr>
        <w:ind w:left="4182" w:hanging="360"/>
      </w:pPr>
      <w:rPr>
        <w:rFonts w:hint="default"/>
        <w:lang w:val="en-US" w:eastAsia="en-US" w:bidi="ar-SA"/>
      </w:rPr>
    </w:lvl>
    <w:lvl w:ilvl="5">
      <w:start w:val="0"/>
      <w:numFmt w:val="bullet"/>
      <w:lvlText w:val="•"/>
      <w:lvlJc w:val="left"/>
      <w:pPr>
        <w:ind w:left="4973" w:hanging="360"/>
      </w:pPr>
      <w:rPr>
        <w:rFonts w:hint="default"/>
        <w:lang w:val="en-US" w:eastAsia="en-US" w:bidi="ar-SA"/>
      </w:rPr>
    </w:lvl>
    <w:lvl w:ilvl="6">
      <w:start w:val="0"/>
      <w:numFmt w:val="bullet"/>
      <w:lvlText w:val="•"/>
      <w:lvlJc w:val="left"/>
      <w:pPr>
        <w:ind w:left="5763" w:hanging="360"/>
      </w:pPr>
      <w:rPr>
        <w:rFonts w:hint="default"/>
        <w:lang w:val="en-US" w:eastAsia="en-US" w:bidi="ar-SA"/>
      </w:rPr>
    </w:lvl>
    <w:lvl w:ilvl="7">
      <w:start w:val="0"/>
      <w:numFmt w:val="bullet"/>
      <w:lvlText w:val="•"/>
      <w:lvlJc w:val="left"/>
      <w:pPr>
        <w:ind w:left="6554" w:hanging="360"/>
      </w:pPr>
      <w:rPr>
        <w:rFonts w:hint="default"/>
        <w:lang w:val="en-US" w:eastAsia="en-US" w:bidi="ar-SA"/>
      </w:rPr>
    </w:lvl>
    <w:lvl w:ilvl="8">
      <w:start w:val="0"/>
      <w:numFmt w:val="bullet"/>
      <w:lvlText w:val="•"/>
      <w:lvlJc w:val="left"/>
      <w:pPr>
        <w:ind w:left="7345" w:hanging="360"/>
      </w:pPr>
      <w:rPr>
        <w:rFonts w:hint="default"/>
        <w:lang w:val="en-US" w:eastAsia="en-US" w:bidi="ar-SA"/>
      </w:rPr>
    </w:lvl>
  </w:abstractNum>
  <w:abstractNum w:abstractNumId="8">
    <w:multiLevelType w:val="hybridMultilevel"/>
    <w:lvl w:ilvl="0">
      <w:start w:val="6"/>
      <w:numFmt w:val="decimal"/>
      <w:lvlText w:val="%1"/>
      <w:lvlJc w:val="left"/>
      <w:pPr>
        <w:ind w:left="300" w:hanging="428"/>
        <w:jc w:val="left"/>
      </w:pPr>
      <w:rPr>
        <w:rFonts w:hint="default"/>
        <w:lang w:val="en-US" w:eastAsia="en-US" w:bidi="ar-SA"/>
      </w:rPr>
    </w:lvl>
    <w:lvl w:ilvl="1">
      <w:start w:val="5"/>
      <w:numFmt w:val="decimal"/>
      <w:lvlText w:val="%1.%2"/>
      <w:lvlJc w:val="left"/>
      <w:pPr>
        <w:ind w:left="300" w:hanging="428"/>
        <w:jc w:val="left"/>
      </w:pPr>
      <w:rPr>
        <w:rFonts w:hint="default" w:ascii="Times New Roman" w:hAnsi="Times New Roman" w:eastAsia="Times New Roman" w:cs="Times New Roman"/>
        <w:spacing w:val="-4"/>
        <w:w w:val="99"/>
        <w:sz w:val="24"/>
        <w:szCs w:val="24"/>
        <w:lang w:val="en-US" w:eastAsia="en-US" w:bidi="ar-SA"/>
      </w:rPr>
    </w:lvl>
    <w:lvl w:ilvl="2">
      <w:start w:val="1"/>
      <w:numFmt w:val="lowerRoman"/>
      <w:lvlText w:val="%3."/>
      <w:lvlJc w:val="left"/>
      <w:pPr>
        <w:ind w:left="1020" w:hanging="488"/>
        <w:jc w:val="right"/>
      </w:pPr>
      <w:rPr>
        <w:rFonts w:hint="default" w:ascii="Times New Roman" w:hAnsi="Times New Roman" w:eastAsia="Times New Roman" w:cs="Times New Roman"/>
        <w:spacing w:val="-5"/>
        <w:w w:val="99"/>
        <w:sz w:val="24"/>
        <w:szCs w:val="24"/>
        <w:lang w:val="en-US" w:eastAsia="en-US" w:bidi="ar-SA"/>
      </w:rPr>
    </w:lvl>
    <w:lvl w:ilvl="3">
      <w:start w:val="0"/>
      <w:numFmt w:val="bullet"/>
      <w:lvlText w:val="•"/>
      <w:lvlJc w:val="left"/>
      <w:pPr>
        <w:ind w:left="2776" w:hanging="488"/>
      </w:pPr>
      <w:rPr>
        <w:rFonts w:hint="default"/>
        <w:lang w:val="en-US" w:eastAsia="en-US" w:bidi="ar-SA"/>
      </w:rPr>
    </w:lvl>
    <w:lvl w:ilvl="4">
      <w:start w:val="0"/>
      <w:numFmt w:val="bullet"/>
      <w:lvlText w:val="•"/>
      <w:lvlJc w:val="left"/>
      <w:pPr>
        <w:ind w:left="3655" w:hanging="488"/>
      </w:pPr>
      <w:rPr>
        <w:rFonts w:hint="default"/>
        <w:lang w:val="en-US" w:eastAsia="en-US" w:bidi="ar-SA"/>
      </w:rPr>
    </w:lvl>
    <w:lvl w:ilvl="5">
      <w:start w:val="0"/>
      <w:numFmt w:val="bullet"/>
      <w:lvlText w:val="•"/>
      <w:lvlJc w:val="left"/>
      <w:pPr>
        <w:ind w:left="4533" w:hanging="488"/>
      </w:pPr>
      <w:rPr>
        <w:rFonts w:hint="default"/>
        <w:lang w:val="en-US" w:eastAsia="en-US" w:bidi="ar-SA"/>
      </w:rPr>
    </w:lvl>
    <w:lvl w:ilvl="6">
      <w:start w:val="0"/>
      <w:numFmt w:val="bullet"/>
      <w:lvlText w:val="•"/>
      <w:lvlJc w:val="left"/>
      <w:pPr>
        <w:ind w:left="5412" w:hanging="488"/>
      </w:pPr>
      <w:rPr>
        <w:rFonts w:hint="default"/>
        <w:lang w:val="en-US" w:eastAsia="en-US" w:bidi="ar-SA"/>
      </w:rPr>
    </w:lvl>
    <w:lvl w:ilvl="7">
      <w:start w:val="0"/>
      <w:numFmt w:val="bullet"/>
      <w:lvlText w:val="•"/>
      <w:lvlJc w:val="left"/>
      <w:pPr>
        <w:ind w:left="6290" w:hanging="488"/>
      </w:pPr>
      <w:rPr>
        <w:rFonts w:hint="default"/>
        <w:lang w:val="en-US" w:eastAsia="en-US" w:bidi="ar-SA"/>
      </w:rPr>
    </w:lvl>
    <w:lvl w:ilvl="8">
      <w:start w:val="0"/>
      <w:numFmt w:val="bullet"/>
      <w:lvlText w:val="•"/>
      <w:lvlJc w:val="left"/>
      <w:pPr>
        <w:ind w:left="7169" w:hanging="488"/>
      </w:pPr>
      <w:rPr>
        <w:rFonts w:hint="default"/>
        <w:lang w:val="en-US" w:eastAsia="en-US" w:bidi="ar-SA"/>
      </w:rPr>
    </w:lvl>
  </w:abstractNum>
  <w:abstractNum w:abstractNumId="7">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1"/>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6">
    <w:multiLevelType w:val="hybridMultilevel"/>
    <w:lvl w:ilvl="0">
      <w:start w:val="1"/>
      <w:numFmt w:val="lowerRoman"/>
      <w:lvlText w:val="%1."/>
      <w:lvlJc w:val="left"/>
      <w:pPr>
        <w:ind w:left="1020" w:hanging="488"/>
        <w:jc w:val="right"/>
      </w:pPr>
      <w:rPr>
        <w:rFonts w:hint="default"/>
        <w:i/>
        <w:spacing w:val="-5"/>
        <w:w w:val="99"/>
        <w:lang w:val="en-US" w:eastAsia="en-US" w:bidi="ar-SA"/>
      </w:rPr>
    </w:lvl>
    <w:lvl w:ilvl="1">
      <w:start w:val="1"/>
      <w:numFmt w:val="lowerLetter"/>
      <w:lvlText w:val="%2)"/>
      <w:lvlJc w:val="left"/>
      <w:pPr>
        <w:ind w:left="1380" w:hanging="360"/>
        <w:jc w:val="left"/>
      </w:pPr>
      <w:rPr>
        <w:rFonts w:hint="default" w:ascii="Times New Roman" w:hAnsi="Times New Roman" w:eastAsia="Times New Roman" w:cs="Times New Roman"/>
        <w:spacing w:val="-6"/>
        <w:w w:val="99"/>
        <w:sz w:val="24"/>
        <w:szCs w:val="24"/>
        <w:lang w:val="en-US" w:eastAsia="en-US" w:bidi="ar-SA"/>
      </w:rPr>
    </w:lvl>
    <w:lvl w:ilvl="2">
      <w:start w:val="0"/>
      <w:numFmt w:val="bullet"/>
      <w:lvlText w:val="•"/>
      <w:lvlJc w:val="left"/>
      <w:pPr>
        <w:ind w:left="2218" w:hanging="360"/>
      </w:pPr>
      <w:rPr>
        <w:rFonts w:hint="default"/>
        <w:lang w:val="en-US" w:eastAsia="en-US" w:bidi="ar-SA"/>
      </w:rPr>
    </w:lvl>
    <w:lvl w:ilvl="3">
      <w:start w:val="0"/>
      <w:numFmt w:val="bullet"/>
      <w:lvlText w:val="•"/>
      <w:lvlJc w:val="left"/>
      <w:pPr>
        <w:ind w:left="3056" w:hanging="360"/>
      </w:pPr>
      <w:rPr>
        <w:rFonts w:hint="default"/>
        <w:lang w:val="en-US" w:eastAsia="en-US" w:bidi="ar-SA"/>
      </w:rPr>
    </w:lvl>
    <w:lvl w:ilvl="4">
      <w:start w:val="0"/>
      <w:numFmt w:val="bullet"/>
      <w:lvlText w:val="•"/>
      <w:lvlJc w:val="left"/>
      <w:pPr>
        <w:ind w:left="3895" w:hanging="360"/>
      </w:pPr>
      <w:rPr>
        <w:rFonts w:hint="default"/>
        <w:lang w:val="en-US" w:eastAsia="en-US" w:bidi="ar-SA"/>
      </w:rPr>
    </w:lvl>
    <w:lvl w:ilvl="5">
      <w:start w:val="0"/>
      <w:numFmt w:val="bullet"/>
      <w:lvlText w:val="•"/>
      <w:lvlJc w:val="left"/>
      <w:pPr>
        <w:ind w:left="4733" w:hanging="360"/>
      </w:pPr>
      <w:rPr>
        <w:rFonts w:hint="default"/>
        <w:lang w:val="en-US" w:eastAsia="en-US" w:bidi="ar-SA"/>
      </w:rPr>
    </w:lvl>
    <w:lvl w:ilvl="6">
      <w:start w:val="0"/>
      <w:numFmt w:val="bullet"/>
      <w:lvlText w:val="•"/>
      <w:lvlJc w:val="left"/>
      <w:pPr>
        <w:ind w:left="5572" w:hanging="360"/>
      </w:pPr>
      <w:rPr>
        <w:rFonts w:hint="default"/>
        <w:lang w:val="en-US" w:eastAsia="en-US" w:bidi="ar-SA"/>
      </w:rPr>
    </w:lvl>
    <w:lvl w:ilvl="7">
      <w:start w:val="0"/>
      <w:numFmt w:val="bullet"/>
      <w:lvlText w:val="•"/>
      <w:lvlJc w:val="left"/>
      <w:pPr>
        <w:ind w:left="6410" w:hanging="360"/>
      </w:pPr>
      <w:rPr>
        <w:rFonts w:hint="default"/>
        <w:lang w:val="en-US" w:eastAsia="en-US" w:bidi="ar-SA"/>
      </w:rPr>
    </w:lvl>
    <w:lvl w:ilvl="8">
      <w:start w:val="0"/>
      <w:numFmt w:val="bullet"/>
      <w:lvlText w:val="•"/>
      <w:lvlJc w:val="left"/>
      <w:pPr>
        <w:ind w:left="7249" w:hanging="360"/>
      </w:pPr>
      <w:rPr>
        <w:rFonts w:hint="default"/>
        <w:lang w:val="en-US" w:eastAsia="en-US" w:bidi="ar-SA"/>
      </w:rPr>
    </w:lvl>
  </w:abstractNum>
  <w:abstractNum w:abstractNumId="5">
    <w:multiLevelType w:val="hybridMultilevel"/>
    <w:lvl w:ilvl="0">
      <w:start w:val="1"/>
      <w:numFmt w:val="lowerRoman"/>
      <w:lvlText w:val="%1."/>
      <w:lvlJc w:val="left"/>
      <w:pPr>
        <w:ind w:left="1065" w:hanging="488"/>
        <w:jc w:val="right"/>
      </w:pPr>
      <w:rPr>
        <w:rFonts w:hint="default"/>
        <w:spacing w:val="-30"/>
        <w:w w:val="99"/>
        <w:lang w:val="en-US" w:eastAsia="en-US" w:bidi="ar-SA"/>
      </w:rPr>
    </w:lvl>
    <w:lvl w:ilvl="1">
      <w:start w:val="0"/>
      <w:numFmt w:val="bullet"/>
      <w:lvlText w:val="•"/>
      <w:lvlJc w:val="left"/>
      <w:pPr>
        <w:ind w:left="1846" w:hanging="488"/>
      </w:pPr>
      <w:rPr>
        <w:rFonts w:hint="default"/>
        <w:lang w:val="en-US" w:eastAsia="en-US" w:bidi="ar-SA"/>
      </w:rPr>
    </w:lvl>
    <w:lvl w:ilvl="2">
      <w:start w:val="0"/>
      <w:numFmt w:val="bullet"/>
      <w:lvlText w:val="•"/>
      <w:lvlJc w:val="left"/>
      <w:pPr>
        <w:ind w:left="2633" w:hanging="488"/>
      </w:pPr>
      <w:rPr>
        <w:rFonts w:hint="default"/>
        <w:lang w:val="en-US" w:eastAsia="en-US" w:bidi="ar-SA"/>
      </w:rPr>
    </w:lvl>
    <w:lvl w:ilvl="3">
      <w:start w:val="0"/>
      <w:numFmt w:val="bullet"/>
      <w:lvlText w:val="•"/>
      <w:lvlJc w:val="left"/>
      <w:pPr>
        <w:ind w:left="3419" w:hanging="488"/>
      </w:pPr>
      <w:rPr>
        <w:rFonts w:hint="default"/>
        <w:lang w:val="en-US" w:eastAsia="en-US" w:bidi="ar-SA"/>
      </w:rPr>
    </w:lvl>
    <w:lvl w:ilvl="4">
      <w:start w:val="0"/>
      <w:numFmt w:val="bullet"/>
      <w:lvlText w:val="•"/>
      <w:lvlJc w:val="left"/>
      <w:pPr>
        <w:ind w:left="4206" w:hanging="488"/>
      </w:pPr>
      <w:rPr>
        <w:rFonts w:hint="default"/>
        <w:lang w:val="en-US" w:eastAsia="en-US" w:bidi="ar-SA"/>
      </w:rPr>
    </w:lvl>
    <w:lvl w:ilvl="5">
      <w:start w:val="0"/>
      <w:numFmt w:val="bullet"/>
      <w:lvlText w:val="•"/>
      <w:lvlJc w:val="left"/>
      <w:pPr>
        <w:ind w:left="4993" w:hanging="488"/>
      </w:pPr>
      <w:rPr>
        <w:rFonts w:hint="default"/>
        <w:lang w:val="en-US" w:eastAsia="en-US" w:bidi="ar-SA"/>
      </w:rPr>
    </w:lvl>
    <w:lvl w:ilvl="6">
      <w:start w:val="0"/>
      <w:numFmt w:val="bullet"/>
      <w:lvlText w:val="•"/>
      <w:lvlJc w:val="left"/>
      <w:pPr>
        <w:ind w:left="5779" w:hanging="488"/>
      </w:pPr>
      <w:rPr>
        <w:rFonts w:hint="default"/>
        <w:lang w:val="en-US" w:eastAsia="en-US" w:bidi="ar-SA"/>
      </w:rPr>
    </w:lvl>
    <w:lvl w:ilvl="7">
      <w:start w:val="0"/>
      <w:numFmt w:val="bullet"/>
      <w:lvlText w:val="•"/>
      <w:lvlJc w:val="left"/>
      <w:pPr>
        <w:ind w:left="6566" w:hanging="488"/>
      </w:pPr>
      <w:rPr>
        <w:rFonts w:hint="default"/>
        <w:lang w:val="en-US" w:eastAsia="en-US" w:bidi="ar-SA"/>
      </w:rPr>
    </w:lvl>
    <w:lvl w:ilvl="8">
      <w:start w:val="0"/>
      <w:numFmt w:val="bullet"/>
      <w:lvlText w:val="•"/>
      <w:lvlJc w:val="left"/>
      <w:pPr>
        <w:ind w:left="7353" w:hanging="488"/>
      </w:pPr>
      <w:rPr>
        <w:rFonts w:hint="default"/>
        <w:lang w:val="en-US" w:eastAsia="en-US" w:bidi="ar-SA"/>
      </w:rPr>
    </w:lvl>
  </w:abstractNum>
  <w:abstractNum w:abstractNumId="4">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4"/>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3">
    <w:multiLevelType w:val="hybridMultilevel"/>
    <w:lvl w:ilvl="0">
      <w:start w:val="1"/>
      <w:numFmt w:val="lowerRoman"/>
      <w:lvlText w:val="%1."/>
      <w:lvlJc w:val="left"/>
      <w:pPr>
        <w:ind w:left="1020" w:hanging="488"/>
        <w:jc w:val="right"/>
      </w:pPr>
      <w:rPr>
        <w:rFonts w:hint="default" w:ascii="Times New Roman" w:hAnsi="Times New Roman" w:eastAsia="Times New Roman" w:cs="Times New Roman"/>
        <w:spacing w:val="-5"/>
        <w:w w:val="99"/>
        <w:sz w:val="24"/>
        <w:szCs w:val="24"/>
        <w:lang w:val="en-US" w:eastAsia="en-US" w:bidi="ar-SA"/>
      </w:rPr>
    </w:lvl>
    <w:lvl w:ilvl="1">
      <w:start w:val="0"/>
      <w:numFmt w:val="bullet"/>
      <w:lvlText w:val="•"/>
      <w:lvlJc w:val="left"/>
      <w:pPr>
        <w:ind w:left="1810" w:hanging="488"/>
      </w:pPr>
      <w:rPr>
        <w:rFonts w:hint="default"/>
        <w:lang w:val="en-US" w:eastAsia="en-US" w:bidi="ar-SA"/>
      </w:rPr>
    </w:lvl>
    <w:lvl w:ilvl="2">
      <w:start w:val="0"/>
      <w:numFmt w:val="bullet"/>
      <w:lvlText w:val="•"/>
      <w:lvlJc w:val="left"/>
      <w:pPr>
        <w:ind w:left="2601" w:hanging="488"/>
      </w:pPr>
      <w:rPr>
        <w:rFonts w:hint="default"/>
        <w:lang w:val="en-US" w:eastAsia="en-US" w:bidi="ar-SA"/>
      </w:rPr>
    </w:lvl>
    <w:lvl w:ilvl="3">
      <w:start w:val="0"/>
      <w:numFmt w:val="bullet"/>
      <w:lvlText w:val="•"/>
      <w:lvlJc w:val="left"/>
      <w:pPr>
        <w:ind w:left="3391" w:hanging="488"/>
      </w:pPr>
      <w:rPr>
        <w:rFonts w:hint="default"/>
        <w:lang w:val="en-US" w:eastAsia="en-US" w:bidi="ar-SA"/>
      </w:rPr>
    </w:lvl>
    <w:lvl w:ilvl="4">
      <w:start w:val="0"/>
      <w:numFmt w:val="bullet"/>
      <w:lvlText w:val="•"/>
      <w:lvlJc w:val="left"/>
      <w:pPr>
        <w:ind w:left="4182" w:hanging="488"/>
      </w:pPr>
      <w:rPr>
        <w:rFonts w:hint="default"/>
        <w:lang w:val="en-US" w:eastAsia="en-US" w:bidi="ar-SA"/>
      </w:rPr>
    </w:lvl>
    <w:lvl w:ilvl="5">
      <w:start w:val="0"/>
      <w:numFmt w:val="bullet"/>
      <w:lvlText w:val="•"/>
      <w:lvlJc w:val="left"/>
      <w:pPr>
        <w:ind w:left="4973" w:hanging="488"/>
      </w:pPr>
      <w:rPr>
        <w:rFonts w:hint="default"/>
        <w:lang w:val="en-US" w:eastAsia="en-US" w:bidi="ar-SA"/>
      </w:rPr>
    </w:lvl>
    <w:lvl w:ilvl="6">
      <w:start w:val="0"/>
      <w:numFmt w:val="bullet"/>
      <w:lvlText w:val="•"/>
      <w:lvlJc w:val="left"/>
      <w:pPr>
        <w:ind w:left="5763" w:hanging="488"/>
      </w:pPr>
      <w:rPr>
        <w:rFonts w:hint="default"/>
        <w:lang w:val="en-US" w:eastAsia="en-US" w:bidi="ar-SA"/>
      </w:rPr>
    </w:lvl>
    <w:lvl w:ilvl="7">
      <w:start w:val="0"/>
      <w:numFmt w:val="bullet"/>
      <w:lvlText w:val="•"/>
      <w:lvlJc w:val="left"/>
      <w:pPr>
        <w:ind w:left="6554" w:hanging="488"/>
      </w:pPr>
      <w:rPr>
        <w:rFonts w:hint="default"/>
        <w:lang w:val="en-US" w:eastAsia="en-US" w:bidi="ar-SA"/>
      </w:rPr>
    </w:lvl>
    <w:lvl w:ilvl="8">
      <w:start w:val="0"/>
      <w:numFmt w:val="bullet"/>
      <w:lvlText w:val="•"/>
      <w:lvlJc w:val="left"/>
      <w:pPr>
        <w:ind w:left="7345" w:hanging="488"/>
      </w:pPr>
      <w:rPr>
        <w:rFonts w:hint="default"/>
        <w:lang w:val="en-US" w:eastAsia="en-US" w:bidi="ar-SA"/>
      </w:rPr>
    </w:lvl>
  </w:abstractNum>
  <w:abstractNum w:abstractNumId="2">
    <w:multiLevelType w:val="hybridMultilevel"/>
    <w:lvl w:ilvl="0">
      <w:start w:val="1"/>
      <w:numFmt w:val="lowerRoman"/>
      <w:lvlText w:val="%1."/>
      <w:lvlJc w:val="left"/>
      <w:pPr>
        <w:ind w:left="1080" w:hanging="488"/>
        <w:jc w:val="right"/>
      </w:pPr>
      <w:rPr>
        <w:rFonts w:hint="default" w:ascii="Times New Roman" w:hAnsi="Times New Roman" w:eastAsia="Times New Roman" w:cs="Times New Roman"/>
        <w:spacing w:val="-12"/>
        <w:w w:val="99"/>
        <w:sz w:val="24"/>
        <w:szCs w:val="24"/>
        <w:lang w:val="en-US" w:eastAsia="en-US" w:bidi="ar-SA"/>
      </w:rPr>
    </w:lvl>
    <w:lvl w:ilvl="1">
      <w:start w:val="0"/>
      <w:numFmt w:val="bullet"/>
      <w:lvlText w:val="•"/>
      <w:lvlJc w:val="left"/>
      <w:pPr>
        <w:ind w:left="1864" w:hanging="488"/>
      </w:pPr>
      <w:rPr>
        <w:rFonts w:hint="default"/>
        <w:lang w:val="en-US" w:eastAsia="en-US" w:bidi="ar-SA"/>
      </w:rPr>
    </w:lvl>
    <w:lvl w:ilvl="2">
      <w:start w:val="0"/>
      <w:numFmt w:val="bullet"/>
      <w:lvlText w:val="•"/>
      <w:lvlJc w:val="left"/>
      <w:pPr>
        <w:ind w:left="2649" w:hanging="488"/>
      </w:pPr>
      <w:rPr>
        <w:rFonts w:hint="default"/>
        <w:lang w:val="en-US" w:eastAsia="en-US" w:bidi="ar-SA"/>
      </w:rPr>
    </w:lvl>
    <w:lvl w:ilvl="3">
      <w:start w:val="0"/>
      <w:numFmt w:val="bullet"/>
      <w:lvlText w:val="•"/>
      <w:lvlJc w:val="left"/>
      <w:pPr>
        <w:ind w:left="3433" w:hanging="488"/>
      </w:pPr>
      <w:rPr>
        <w:rFonts w:hint="default"/>
        <w:lang w:val="en-US" w:eastAsia="en-US" w:bidi="ar-SA"/>
      </w:rPr>
    </w:lvl>
    <w:lvl w:ilvl="4">
      <w:start w:val="0"/>
      <w:numFmt w:val="bullet"/>
      <w:lvlText w:val="•"/>
      <w:lvlJc w:val="left"/>
      <w:pPr>
        <w:ind w:left="4218" w:hanging="488"/>
      </w:pPr>
      <w:rPr>
        <w:rFonts w:hint="default"/>
        <w:lang w:val="en-US" w:eastAsia="en-US" w:bidi="ar-SA"/>
      </w:rPr>
    </w:lvl>
    <w:lvl w:ilvl="5">
      <w:start w:val="0"/>
      <w:numFmt w:val="bullet"/>
      <w:lvlText w:val="•"/>
      <w:lvlJc w:val="left"/>
      <w:pPr>
        <w:ind w:left="5003" w:hanging="488"/>
      </w:pPr>
      <w:rPr>
        <w:rFonts w:hint="default"/>
        <w:lang w:val="en-US" w:eastAsia="en-US" w:bidi="ar-SA"/>
      </w:rPr>
    </w:lvl>
    <w:lvl w:ilvl="6">
      <w:start w:val="0"/>
      <w:numFmt w:val="bullet"/>
      <w:lvlText w:val="•"/>
      <w:lvlJc w:val="left"/>
      <w:pPr>
        <w:ind w:left="5787" w:hanging="488"/>
      </w:pPr>
      <w:rPr>
        <w:rFonts w:hint="default"/>
        <w:lang w:val="en-US" w:eastAsia="en-US" w:bidi="ar-SA"/>
      </w:rPr>
    </w:lvl>
    <w:lvl w:ilvl="7">
      <w:start w:val="0"/>
      <w:numFmt w:val="bullet"/>
      <w:lvlText w:val="•"/>
      <w:lvlJc w:val="left"/>
      <w:pPr>
        <w:ind w:left="6572" w:hanging="488"/>
      </w:pPr>
      <w:rPr>
        <w:rFonts w:hint="default"/>
        <w:lang w:val="en-US" w:eastAsia="en-US" w:bidi="ar-SA"/>
      </w:rPr>
    </w:lvl>
    <w:lvl w:ilvl="8">
      <w:start w:val="0"/>
      <w:numFmt w:val="bullet"/>
      <w:lvlText w:val="•"/>
      <w:lvlJc w:val="left"/>
      <w:pPr>
        <w:ind w:left="7357" w:hanging="488"/>
      </w:pPr>
      <w:rPr>
        <w:rFonts w:hint="default"/>
        <w:lang w:val="en-US" w:eastAsia="en-US" w:bidi="ar-SA"/>
      </w:rPr>
    </w:lvl>
  </w:abstractNum>
  <w:abstractNum w:abstractNumId="1">
    <w:multiLevelType w:val="hybridMultilevel"/>
    <w:lvl w:ilvl="0">
      <w:start w:val="1"/>
      <w:numFmt w:val="lowerLetter"/>
      <w:lvlText w:val="%1)"/>
      <w:lvlJc w:val="left"/>
      <w:pPr>
        <w:ind w:left="1380" w:hanging="360"/>
        <w:jc w:val="left"/>
      </w:pPr>
      <w:rPr>
        <w:rFonts w:hint="default" w:ascii="Times New Roman" w:hAnsi="Times New Roman" w:eastAsia="Times New Roman" w:cs="Times New Roman"/>
        <w:spacing w:val="-8"/>
        <w:w w:val="99"/>
        <w:sz w:val="24"/>
        <w:szCs w:val="24"/>
        <w:lang w:val="en-US" w:eastAsia="en-US" w:bidi="ar-SA"/>
      </w:rPr>
    </w:lvl>
    <w:lvl w:ilvl="1">
      <w:start w:val="0"/>
      <w:numFmt w:val="bullet"/>
      <w:lvlText w:val="•"/>
      <w:lvlJc w:val="left"/>
      <w:pPr>
        <w:ind w:left="2134" w:hanging="360"/>
      </w:pPr>
      <w:rPr>
        <w:rFonts w:hint="default"/>
        <w:lang w:val="en-US" w:eastAsia="en-US" w:bidi="ar-SA"/>
      </w:rPr>
    </w:lvl>
    <w:lvl w:ilvl="2">
      <w:start w:val="0"/>
      <w:numFmt w:val="bullet"/>
      <w:lvlText w:val="•"/>
      <w:lvlJc w:val="left"/>
      <w:pPr>
        <w:ind w:left="2889" w:hanging="360"/>
      </w:pPr>
      <w:rPr>
        <w:rFonts w:hint="default"/>
        <w:lang w:val="en-US" w:eastAsia="en-US" w:bidi="ar-SA"/>
      </w:rPr>
    </w:lvl>
    <w:lvl w:ilvl="3">
      <w:start w:val="0"/>
      <w:numFmt w:val="bullet"/>
      <w:lvlText w:val="•"/>
      <w:lvlJc w:val="left"/>
      <w:pPr>
        <w:ind w:left="3643" w:hanging="360"/>
      </w:pPr>
      <w:rPr>
        <w:rFonts w:hint="default"/>
        <w:lang w:val="en-US" w:eastAsia="en-US" w:bidi="ar-SA"/>
      </w:rPr>
    </w:lvl>
    <w:lvl w:ilvl="4">
      <w:start w:val="0"/>
      <w:numFmt w:val="bullet"/>
      <w:lvlText w:val="•"/>
      <w:lvlJc w:val="left"/>
      <w:pPr>
        <w:ind w:left="4398" w:hanging="360"/>
      </w:pPr>
      <w:rPr>
        <w:rFonts w:hint="default"/>
        <w:lang w:val="en-US" w:eastAsia="en-US" w:bidi="ar-SA"/>
      </w:rPr>
    </w:lvl>
    <w:lvl w:ilvl="5">
      <w:start w:val="0"/>
      <w:numFmt w:val="bullet"/>
      <w:lvlText w:val="•"/>
      <w:lvlJc w:val="left"/>
      <w:pPr>
        <w:ind w:left="5153" w:hanging="360"/>
      </w:pPr>
      <w:rPr>
        <w:rFonts w:hint="default"/>
        <w:lang w:val="en-US" w:eastAsia="en-US" w:bidi="ar-SA"/>
      </w:rPr>
    </w:lvl>
    <w:lvl w:ilvl="6">
      <w:start w:val="0"/>
      <w:numFmt w:val="bullet"/>
      <w:lvlText w:val="•"/>
      <w:lvlJc w:val="left"/>
      <w:pPr>
        <w:ind w:left="5907" w:hanging="360"/>
      </w:pPr>
      <w:rPr>
        <w:rFonts w:hint="default"/>
        <w:lang w:val="en-US" w:eastAsia="en-US" w:bidi="ar-SA"/>
      </w:rPr>
    </w:lvl>
    <w:lvl w:ilvl="7">
      <w:start w:val="0"/>
      <w:numFmt w:val="bullet"/>
      <w:lvlText w:val="•"/>
      <w:lvlJc w:val="left"/>
      <w:pPr>
        <w:ind w:left="6662" w:hanging="360"/>
      </w:pPr>
      <w:rPr>
        <w:rFonts w:hint="default"/>
        <w:lang w:val="en-US" w:eastAsia="en-US" w:bidi="ar-SA"/>
      </w:rPr>
    </w:lvl>
    <w:lvl w:ilvl="8">
      <w:start w:val="0"/>
      <w:numFmt w:val="bullet"/>
      <w:lvlText w:val="•"/>
      <w:lvlJc w:val="left"/>
      <w:pPr>
        <w:ind w:left="7417" w:hanging="360"/>
      </w:pPr>
      <w:rPr>
        <w:rFonts w:hint="default"/>
        <w:lang w:val="en-US" w:eastAsia="en-US" w:bidi="ar-SA"/>
      </w:rPr>
    </w:lvl>
  </w:abstractNum>
  <w:abstractNum w:abstractNumId="0">
    <w:multiLevelType w:val="hybridMultilevel"/>
    <w:lvl w:ilvl="0">
      <w:start w:val="14"/>
      <w:numFmt w:val="decimal"/>
      <w:lvlText w:val="%1)."/>
      <w:lvlJc w:val="left"/>
      <w:pPr>
        <w:ind w:left="300" w:hanging="495"/>
        <w:jc w:val="left"/>
      </w:pPr>
      <w:rPr>
        <w:rFonts w:hint="default" w:ascii="Times New Roman" w:hAnsi="Times New Roman" w:eastAsia="Times New Roman" w:cs="Times New Roman"/>
        <w:spacing w:val="-7"/>
        <w:w w:val="99"/>
        <w:sz w:val="24"/>
        <w:szCs w:val="24"/>
        <w:lang w:val="en-US" w:eastAsia="en-US" w:bidi="ar-SA"/>
      </w:rPr>
    </w:lvl>
    <w:lvl w:ilvl="1">
      <w:start w:val="1"/>
      <w:numFmt w:val="lowerLetter"/>
      <w:lvlText w:val="%2)"/>
      <w:lvlJc w:val="left"/>
      <w:pPr>
        <w:ind w:left="1380" w:hanging="360"/>
        <w:jc w:val="left"/>
      </w:pPr>
      <w:rPr>
        <w:rFonts w:hint="default" w:ascii="Times New Roman" w:hAnsi="Times New Roman" w:eastAsia="Times New Roman" w:cs="Times New Roman"/>
        <w:b/>
        <w:bCs/>
        <w:spacing w:val="-20"/>
        <w:w w:val="99"/>
        <w:sz w:val="24"/>
        <w:szCs w:val="24"/>
        <w:lang w:val="en-US" w:eastAsia="en-US" w:bidi="ar-SA"/>
      </w:rPr>
    </w:lvl>
    <w:lvl w:ilvl="2">
      <w:start w:val="0"/>
      <w:numFmt w:val="bullet"/>
      <w:lvlText w:val="•"/>
      <w:lvlJc w:val="left"/>
      <w:pPr>
        <w:ind w:left="2218" w:hanging="360"/>
      </w:pPr>
      <w:rPr>
        <w:rFonts w:hint="default"/>
        <w:lang w:val="en-US" w:eastAsia="en-US" w:bidi="ar-SA"/>
      </w:rPr>
    </w:lvl>
    <w:lvl w:ilvl="3">
      <w:start w:val="0"/>
      <w:numFmt w:val="bullet"/>
      <w:lvlText w:val="•"/>
      <w:lvlJc w:val="left"/>
      <w:pPr>
        <w:ind w:left="3056" w:hanging="360"/>
      </w:pPr>
      <w:rPr>
        <w:rFonts w:hint="default"/>
        <w:lang w:val="en-US" w:eastAsia="en-US" w:bidi="ar-SA"/>
      </w:rPr>
    </w:lvl>
    <w:lvl w:ilvl="4">
      <w:start w:val="0"/>
      <w:numFmt w:val="bullet"/>
      <w:lvlText w:val="•"/>
      <w:lvlJc w:val="left"/>
      <w:pPr>
        <w:ind w:left="3895" w:hanging="360"/>
      </w:pPr>
      <w:rPr>
        <w:rFonts w:hint="default"/>
        <w:lang w:val="en-US" w:eastAsia="en-US" w:bidi="ar-SA"/>
      </w:rPr>
    </w:lvl>
    <w:lvl w:ilvl="5">
      <w:start w:val="0"/>
      <w:numFmt w:val="bullet"/>
      <w:lvlText w:val="•"/>
      <w:lvlJc w:val="left"/>
      <w:pPr>
        <w:ind w:left="4733" w:hanging="360"/>
      </w:pPr>
      <w:rPr>
        <w:rFonts w:hint="default"/>
        <w:lang w:val="en-US" w:eastAsia="en-US" w:bidi="ar-SA"/>
      </w:rPr>
    </w:lvl>
    <w:lvl w:ilvl="6">
      <w:start w:val="0"/>
      <w:numFmt w:val="bullet"/>
      <w:lvlText w:val="•"/>
      <w:lvlJc w:val="left"/>
      <w:pPr>
        <w:ind w:left="5572" w:hanging="360"/>
      </w:pPr>
      <w:rPr>
        <w:rFonts w:hint="default"/>
        <w:lang w:val="en-US" w:eastAsia="en-US" w:bidi="ar-SA"/>
      </w:rPr>
    </w:lvl>
    <w:lvl w:ilvl="7">
      <w:start w:val="0"/>
      <w:numFmt w:val="bullet"/>
      <w:lvlText w:val="•"/>
      <w:lvlJc w:val="left"/>
      <w:pPr>
        <w:ind w:left="6410" w:hanging="360"/>
      </w:pPr>
      <w:rPr>
        <w:rFonts w:hint="default"/>
        <w:lang w:val="en-US" w:eastAsia="en-US" w:bidi="ar-SA"/>
      </w:rPr>
    </w:lvl>
    <w:lvl w:ilvl="8">
      <w:start w:val="0"/>
      <w:numFmt w:val="bullet"/>
      <w:lvlText w:val="•"/>
      <w:lvlJc w:val="left"/>
      <w:pPr>
        <w:ind w:left="7249" w:hanging="360"/>
      </w:pPr>
      <w:rPr>
        <w:rFonts w:hint="default"/>
        <w:lang w:val="en-US" w:eastAsia="en-US" w:bidi="ar-SA"/>
      </w:rPr>
    </w:lvl>
  </w:abstractNum>
  <w:num w:numId="15">
    <w:abstractNumId w:val="14"/>
  </w: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lang w:val="en-US" w:eastAsia="en-US" w:bidi="ar-SA"/>
    </w:rPr>
  </w:style>
  <w:style w:styleId="BodyText" w:type="paragraph">
    <w:name w:val="Body Text"/>
    <w:basedOn w:val="Normal"/>
    <w:uiPriority w:val="1"/>
    <w:qFormat/>
    <w:pPr/>
    <w:rPr>
      <w:rFonts w:ascii="Times New Roman" w:hAnsi="Times New Roman" w:eastAsia="Times New Roman" w:cs="Times New Roman"/>
      <w:sz w:val="24"/>
      <w:szCs w:val="24"/>
      <w:lang w:val="en-US" w:eastAsia="en-US" w:bidi="ar-SA"/>
    </w:rPr>
  </w:style>
  <w:style w:styleId="Heading1" w:type="paragraph">
    <w:name w:val="Heading 1"/>
    <w:basedOn w:val="Normal"/>
    <w:uiPriority w:val="1"/>
    <w:qFormat/>
    <w:pPr>
      <w:outlineLvl w:val="1"/>
    </w:pPr>
    <w:rPr>
      <w:rFonts w:ascii="Symbola" w:hAnsi="Symbola" w:eastAsia="Symbola" w:cs="Symbola"/>
      <w:sz w:val="36"/>
      <w:szCs w:val="36"/>
      <w:lang w:val="en-US" w:eastAsia="en-US" w:bidi="ar-SA"/>
    </w:rPr>
  </w:style>
  <w:style w:styleId="Heading2" w:type="paragraph">
    <w:name w:val="Heading 2"/>
    <w:basedOn w:val="Normal"/>
    <w:uiPriority w:val="1"/>
    <w:qFormat/>
    <w:pPr>
      <w:spacing w:before="124"/>
      <w:ind w:left="300"/>
      <w:jc w:val="both"/>
      <w:outlineLvl w:val="2"/>
    </w:pPr>
    <w:rPr>
      <w:rFonts w:ascii="Times New Roman" w:hAnsi="Times New Roman" w:eastAsia="Times New Roman" w:cs="Times New Roman"/>
      <w:b/>
      <w:bCs/>
      <w:sz w:val="32"/>
      <w:szCs w:val="32"/>
      <w:lang w:val="en-US" w:eastAsia="en-US" w:bidi="ar-SA"/>
    </w:rPr>
  </w:style>
  <w:style w:styleId="Heading3" w:type="paragraph">
    <w:name w:val="Heading 3"/>
    <w:basedOn w:val="Normal"/>
    <w:uiPriority w:val="1"/>
    <w:qFormat/>
    <w:pPr>
      <w:ind w:left="924"/>
      <w:outlineLvl w:val="3"/>
    </w:pPr>
    <w:rPr>
      <w:rFonts w:ascii="Symbola" w:hAnsi="Symbola" w:eastAsia="Symbola" w:cs="Symbola"/>
      <w:sz w:val="26"/>
      <w:szCs w:val="26"/>
      <w:lang w:val="en-US" w:eastAsia="en-US" w:bidi="ar-SA"/>
    </w:rPr>
  </w:style>
  <w:style w:styleId="Heading4" w:type="paragraph">
    <w:name w:val="Heading 4"/>
    <w:basedOn w:val="Normal"/>
    <w:uiPriority w:val="1"/>
    <w:qFormat/>
    <w:pPr>
      <w:ind w:left="300"/>
      <w:jc w:val="both"/>
      <w:outlineLvl w:val="4"/>
    </w:pPr>
    <w:rPr>
      <w:rFonts w:ascii="Times New Roman" w:hAnsi="Times New Roman" w:eastAsia="Times New Roman" w:cs="Times New Roman"/>
      <w:b/>
      <w:bCs/>
      <w:sz w:val="24"/>
      <w:szCs w:val="24"/>
      <w:lang w:val="en-US" w:eastAsia="en-US" w:bidi="ar-SA"/>
    </w:rPr>
  </w:style>
  <w:style w:styleId="ListParagraph" w:type="paragraph">
    <w:name w:val="List Paragraph"/>
    <w:basedOn w:val="Normal"/>
    <w:uiPriority w:val="1"/>
    <w:qFormat/>
    <w:pPr>
      <w:ind w:left="300"/>
      <w:jc w:val="both"/>
    </w:pPr>
    <w:rPr>
      <w:rFonts w:ascii="Times New Roman" w:hAnsi="Times New Roman" w:eastAsia="Times New Roman" w:cs="Times New Roman"/>
      <w:lang w:val="en-US" w:eastAsia="en-US" w:bidi="ar-SA"/>
    </w:rPr>
  </w:style>
  <w:style w:styleId="TableParagraph" w:type="paragraph">
    <w:name w:val="Table Paragraph"/>
    <w:basedOn w:val="Normal"/>
    <w:uiPriority w:val="1"/>
    <w:qFormat/>
    <w:pPr>
      <w:spacing w:line="270" w:lineRule="exact"/>
      <w:ind w:left="107"/>
    </w:pPr>
    <w:rPr>
      <w:rFonts w:ascii="Times New Roman" w:hAnsi="Times New Roman" w:eastAsia="Times New Roman" w:cs="Times New Roman"/>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image" Target="media/image1.png"/><Relationship Id="rId8" Type="http://schemas.openxmlformats.org/officeDocument/2006/relationships/image" Target="media/image2.png"/><Relationship Id="rId9" Type="http://schemas.openxmlformats.org/officeDocument/2006/relationships/image" Target="media/image3.png"/><Relationship Id="rId10" Type="http://schemas.openxmlformats.org/officeDocument/2006/relationships/image" Target="media/image4.jpe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20" Type="http://schemas.openxmlformats.org/officeDocument/2006/relationships/header" Target="header2.xml"/><Relationship Id="rId21" Type="http://schemas.openxmlformats.org/officeDocument/2006/relationships/footer" Target="footer2.xml"/><Relationship Id="rId22" Type="http://schemas.openxmlformats.org/officeDocument/2006/relationships/image" Target="media/image14.jpeg"/><Relationship Id="rId23" Type="http://schemas.openxmlformats.org/officeDocument/2006/relationships/image" Target="media/image15.jpe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jpe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jpeg"/><Relationship Id="rId30" Type="http://schemas.openxmlformats.org/officeDocument/2006/relationships/image" Target="media/image22.png"/><Relationship Id="rId31" Type="http://schemas.openxmlformats.org/officeDocument/2006/relationships/image" Target="media/image23.jpeg"/><Relationship Id="rId32" Type="http://schemas.openxmlformats.org/officeDocument/2006/relationships/image" Target="media/image24.jpeg"/><Relationship Id="rId33" Type="http://schemas.openxmlformats.org/officeDocument/2006/relationships/image" Target="media/image25.jpeg"/><Relationship Id="rId34" Type="http://schemas.openxmlformats.org/officeDocument/2006/relationships/image" Target="media/image26.jpeg"/><Relationship Id="rId35" Type="http://schemas.openxmlformats.org/officeDocument/2006/relationships/image" Target="media/image27.jpeg"/><Relationship Id="rId36" Type="http://schemas.openxmlformats.org/officeDocument/2006/relationships/image" Target="media/image28.png"/><Relationship Id="rId37" Type="http://schemas.openxmlformats.org/officeDocument/2006/relationships/image" Target="media/image29.png"/><Relationship Id="rId38" Type="http://schemas.openxmlformats.org/officeDocument/2006/relationships/image" Target="media/image30.jpeg"/><Relationship Id="rId39" Type="http://schemas.openxmlformats.org/officeDocument/2006/relationships/image" Target="media/image31.png"/><Relationship Id="rId40" Type="http://schemas.openxmlformats.org/officeDocument/2006/relationships/image" Target="media/image32.jpeg"/><Relationship Id="rId41" Type="http://schemas.openxmlformats.org/officeDocument/2006/relationships/image" Target="media/image33.png"/><Relationship Id="rId42" Type="http://schemas.openxmlformats.org/officeDocument/2006/relationships/image" Target="media/image34.png"/><Relationship Id="rId43" Type="http://schemas.openxmlformats.org/officeDocument/2006/relationships/image" Target="media/image35.jpeg"/><Relationship Id="rId44" Type="http://schemas.openxmlformats.org/officeDocument/2006/relationships/image" Target="media/image36.jpeg"/><Relationship Id="rId45" Type="http://schemas.openxmlformats.org/officeDocument/2006/relationships/image" Target="media/image37.jpeg"/><Relationship Id="rId46" Type="http://schemas.openxmlformats.org/officeDocument/2006/relationships/image" Target="media/image38.jpeg"/><Relationship Id="rId47" Type="http://schemas.openxmlformats.org/officeDocument/2006/relationships/image" Target="media/image39.jpeg"/><Relationship Id="rId48" Type="http://schemas.openxmlformats.org/officeDocument/2006/relationships/image" Target="media/image40.jpeg"/><Relationship Id="rId49" Type="http://schemas.openxmlformats.org/officeDocument/2006/relationships/image" Target="media/image41.jpeg"/><Relationship Id="rId50" Type="http://schemas.openxmlformats.org/officeDocument/2006/relationships/image" Target="media/image42.png"/><Relationship Id="rId51" Type="http://schemas.openxmlformats.org/officeDocument/2006/relationships/image" Target="media/image43.jpeg"/><Relationship Id="rId52" Type="http://schemas.openxmlformats.org/officeDocument/2006/relationships/image" Target="media/image44.jpeg"/><Relationship Id="rId53" Type="http://schemas.openxmlformats.org/officeDocument/2006/relationships/image" Target="media/image45.jpeg"/><Relationship Id="rId54" Type="http://schemas.openxmlformats.org/officeDocument/2006/relationships/image" Target="media/image46.jpeg"/><Relationship Id="rId55" Type="http://schemas.openxmlformats.org/officeDocument/2006/relationships/image" Target="media/image47.png"/><Relationship Id="rId56" Type="http://schemas.openxmlformats.org/officeDocument/2006/relationships/image" Target="media/image48.jpeg"/><Relationship Id="rId57" Type="http://schemas.openxmlformats.org/officeDocument/2006/relationships/image" Target="media/image49.png"/><Relationship Id="rId58" Type="http://schemas.openxmlformats.org/officeDocument/2006/relationships/image" Target="media/image50.jpeg"/><Relationship Id="rId59" Type="http://schemas.openxmlformats.org/officeDocument/2006/relationships/image" Target="media/image51.png"/><Relationship Id="rId60" Type="http://schemas.openxmlformats.org/officeDocument/2006/relationships/image" Target="media/image52.jpeg"/><Relationship Id="rId61" Type="http://schemas.openxmlformats.org/officeDocument/2006/relationships/image" Target="media/image53.png"/><Relationship Id="rId62" Type="http://schemas.openxmlformats.org/officeDocument/2006/relationships/image" Target="media/image54.jpeg"/><Relationship Id="rId63" Type="http://schemas.openxmlformats.org/officeDocument/2006/relationships/image" Target="media/image55.jpeg"/><Relationship Id="rId64" Type="http://schemas.openxmlformats.org/officeDocument/2006/relationships/image" Target="media/image56.png"/><Relationship Id="rId65" Type="http://schemas.openxmlformats.org/officeDocument/2006/relationships/image" Target="media/image57.png"/><Relationship Id="rId66" Type="http://schemas.openxmlformats.org/officeDocument/2006/relationships/image" Target="media/image58.png"/><Relationship Id="rId67" Type="http://schemas.openxmlformats.org/officeDocument/2006/relationships/image" Target="media/image59.jpeg"/><Relationship Id="rId68" Type="http://schemas.openxmlformats.org/officeDocument/2006/relationships/image" Target="media/image60.png"/><Relationship Id="rId69" Type="http://schemas.openxmlformats.org/officeDocument/2006/relationships/image" Target="media/image61.jpeg"/><Relationship Id="rId70" Type="http://schemas.openxmlformats.org/officeDocument/2006/relationships/image" Target="media/image62.png"/><Relationship Id="rId71" Type="http://schemas.openxmlformats.org/officeDocument/2006/relationships/image" Target="media/image63.png"/><Relationship Id="rId72" Type="http://schemas.openxmlformats.org/officeDocument/2006/relationships/image" Target="media/image64.jpeg"/><Relationship Id="rId73" Type="http://schemas.openxmlformats.org/officeDocument/2006/relationships/image" Target="media/image65.jpeg"/><Relationship Id="rId74" Type="http://schemas.openxmlformats.org/officeDocument/2006/relationships/image" Target="media/image66.png"/><Relationship Id="rId75" Type="http://schemas.openxmlformats.org/officeDocument/2006/relationships/image" Target="media/image67.jpeg"/><Relationship Id="rId76" Type="http://schemas.openxmlformats.org/officeDocument/2006/relationships/image" Target="media/image68.png"/><Relationship Id="rId77" Type="http://schemas.openxmlformats.org/officeDocument/2006/relationships/image" Target="media/image69.png"/><Relationship Id="rId78" Type="http://schemas.openxmlformats.org/officeDocument/2006/relationships/image" Target="media/image70.jpeg"/><Relationship Id="rId79" Type="http://schemas.openxmlformats.org/officeDocument/2006/relationships/image" Target="media/image71.png"/><Relationship Id="rId80" Type="http://schemas.openxmlformats.org/officeDocument/2006/relationships/image" Target="media/image72.jpeg"/><Relationship Id="rId81" Type="http://schemas.openxmlformats.org/officeDocument/2006/relationships/image" Target="media/image73.png"/><Relationship Id="rId82" Type="http://schemas.openxmlformats.org/officeDocument/2006/relationships/image" Target="media/image74.png"/><Relationship Id="rId83" Type="http://schemas.openxmlformats.org/officeDocument/2006/relationships/image" Target="media/image75.jpeg"/><Relationship Id="rId84" Type="http://schemas.openxmlformats.org/officeDocument/2006/relationships/image" Target="media/image76.png"/><Relationship Id="rId85" Type="http://schemas.openxmlformats.org/officeDocument/2006/relationships/image" Target="media/image77.png"/><Relationship Id="rId86" Type="http://schemas.openxmlformats.org/officeDocument/2006/relationships/image" Target="media/image78.png"/><Relationship Id="rId87" Type="http://schemas.openxmlformats.org/officeDocument/2006/relationships/image" Target="media/image79.jpeg"/><Relationship Id="rId88" Type="http://schemas.openxmlformats.org/officeDocument/2006/relationships/image" Target="media/image80.jpeg"/><Relationship Id="rId89" Type="http://schemas.openxmlformats.org/officeDocument/2006/relationships/image" Target="media/image81.jpeg"/><Relationship Id="rId90" Type="http://schemas.openxmlformats.org/officeDocument/2006/relationships/image" Target="media/image82.jpeg"/><Relationship Id="rId91" Type="http://schemas.openxmlformats.org/officeDocument/2006/relationships/image" Target="media/image83.png"/><Relationship Id="rId92" Type="http://schemas.openxmlformats.org/officeDocument/2006/relationships/image" Target="media/image84.jpeg"/><Relationship Id="rId93" Type="http://schemas.openxmlformats.org/officeDocument/2006/relationships/image" Target="media/image85.png"/><Relationship Id="rId94" Type="http://schemas.openxmlformats.org/officeDocument/2006/relationships/image" Target="media/image86.png"/><Relationship Id="rId95" Type="http://schemas.openxmlformats.org/officeDocument/2006/relationships/image" Target="media/image87.png"/><Relationship Id="rId96" Type="http://schemas.openxmlformats.org/officeDocument/2006/relationships/image" Target="media/image88.png"/><Relationship Id="rId97" Type="http://schemas.openxmlformats.org/officeDocument/2006/relationships/image" Target="media/image89.png"/><Relationship Id="rId98" Type="http://schemas.openxmlformats.org/officeDocument/2006/relationships/image" Target="media/image90.png"/><Relationship Id="rId99" Type="http://schemas.openxmlformats.org/officeDocument/2006/relationships/image" Target="media/image91.png"/><Relationship Id="rId100" Type="http://schemas.openxmlformats.org/officeDocument/2006/relationships/image" Target="media/image92.png"/><Relationship Id="rId101" Type="http://schemas.openxmlformats.org/officeDocument/2006/relationships/header" Target="header3.xml"/><Relationship Id="rId102" Type="http://schemas.openxmlformats.org/officeDocument/2006/relationships/footer" Target="footer3.xml"/><Relationship Id="rId103" Type="http://schemas.openxmlformats.org/officeDocument/2006/relationships/image" Target="media/image93.jpeg"/><Relationship Id="rId104" Type="http://schemas.openxmlformats.org/officeDocument/2006/relationships/image" Target="media/image94.jpeg"/><Relationship Id="rId105" Type="http://schemas.openxmlformats.org/officeDocument/2006/relationships/image" Target="media/image95.jpeg"/><Relationship Id="rId106" Type="http://schemas.openxmlformats.org/officeDocument/2006/relationships/image" Target="media/image96.png"/><Relationship Id="rId107" Type="http://schemas.openxmlformats.org/officeDocument/2006/relationships/image" Target="media/image97.png"/><Relationship Id="rId108" Type="http://schemas.openxmlformats.org/officeDocument/2006/relationships/image" Target="media/image98.jpeg"/><Relationship Id="rId109" Type="http://schemas.openxmlformats.org/officeDocument/2006/relationships/image" Target="media/image99.jpeg"/><Relationship Id="rId110" Type="http://schemas.openxmlformats.org/officeDocument/2006/relationships/image" Target="media/image100.jpeg"/><Relationship Id="rId111" Type="http://schemas.openxmlformats.org/officeDocument/2006/relationships/image" Target="media/image101.jpeg"/><Relationship Id="rId112" Type="http://schemas.openxmlformats.org/officeDocument/2006/relationships/image" Target="media/image102.jpeg"/><Relationship Id="rId113" Type="http://schemas.openxmlformats.org/officeDocument/2006/relationships/image" Target="media/image103.jpeg"/><Relationship Id="rId114" Type="http://schemas.openxmlformats.org/officeDocument/2006/relationships/image" Target="media/image104.jpeg"/><Relationship Id="rId115" Type="http://schemas.openxmlformats.org/officeDocument/2006/relationships/image" Target="media/image105.jpeg"/><Relationship Id="rId116" Type="http://schemas.openxmlformats.org/officeDocument/2006/relationships/image" Target="media/image106.jpeg"/><Relationship Id="rId117" Type="http://schemas.openxmlformats.org/officeDocument/2006/relationships/image" Target="media/image107.jpeg"/><Relationship Id="rId118" Type="http://schemas.openxmlformats.org/officeDocument/2006/relationships/image" Target="media/image108.jpeg"/><Relationship Id="rId119" Type="http://schemas.openxmlformats.org/officeDocument/2006/relationships/image" Target="media/image109.jpeg"/><Relationship Id="rId120" Type="http://schemas.openxmlformats.org/officeDocument/2006/relationships/image" Target="media/image110.jpeg"/><Relationship Id="rId121" Type="http://schemas.openxmlformats.org/officeDocument/2006/relationships/image" Target="media/image111.jpeg"/><Relationship Id="rId122" Type="http://schemas.openxmlformats.org/officeDocument/2006/relationships/image" Target="media/image112.jpeg"/><Relationship Id="rId123" Type="http://schemas.openxmlformats.org/officeDocument/2006/relationships/image" Target="media/image113.png"/><Relationship Id="rId124" Type="http://schemas.openxmlformats.org/officeDocument/2006/relationships/image" Target="media/image114.jpeg"/><Relationship Id="rId125" Type="http://schemas.openxmlformats.org/officeDocument/2006/relationships/image" Target="media/image115.jpeg"/><Relationship Id="rId126" Type="http://schemas.openxmlformats.org/officeDocument/2006/relationships/image" Target="media/image116.png"/><Relationship Id="rId127" Type="http://schemas.openxmlformats.org/officeDocument/2006/relationships/image" Target="media/image117.jpeg"/><Relationship Id="rId128" Type="http://schemas.openxmlformats.org/officeDocument/2006/relationships/image" Target="media/image118.png"/><Relationship Id="rId129" Type="http://schemas.openxmlformats.org/officeDocument/2006/relationships/image" Target="media/image119.jpeg"/><Relationship Id="rId130" Type="http://schemas.openxmlformats.org/officeDocument/2006/relationships/image" Target="media/image120.png"/><Relationship Id="rId131" Type="http://schemas.openxmlformats.org/officeDocument/2006/relationships/image" Target="media/image121.jpeg"/><Relationship Id="rId132" Type="http://schemas.openxmlformats.org/officeDocument/2006/relationships/image" Target="media/image122.jpeg"/><Relationship Id="rId133" Type="http://schemas.openxmlformats.org/officeDocument/2006/relationships/image" Target="media/image123.jpeg"/><Relationship Id="rId134" Type="http://schemas.openxmlformats.org/officeDocument/2006/relationships/image" Target="media/image124.jpeg"/><Relationship Id="rId135" Type="http://schemas.openxmlformats.org/officeDocument/2006/relationships/image" Target="media/image125.jpeg"/><Relationship Id="rId136" Type="http://schemas.openxmlformats.org/officeDocument/2006/relationships/image" Target="media/image126.jpeg"/><Relationship Id="rId137" Type="http://schemas.openxmlformats.org/officeDocument/2006/relationships/image" Target="media/image127.jpeg"/><Relationship Id="rId138" Type="http://schemas.openxmlformats.org/officeDocument/2006/relationships/image" Target="media/image128.jpeg"/><Relationship Id="rId139" Type="http://schemas.openxmlformats.org/officeDocument/2006/relationships/image" Target="media/image129.png"/><Relationship Id="rId140" Type="http://schemas.openxmlformats.org/officeDocument/2006/relationships/image" Target="media/image130.png"/><Relationship Id="rId141" Type="http://schemas.openxmlformats.org/officeDocument/2006/relationships/image" Target="media/image131.jpeg"/><Relationship Id="rId142" Type="http://schemas.openxmlformats.org/officeDocument/2006/relationships/image" Target="media/image132.jpeg"/><Relationship Id="rId143" Type="http://schemas.openxmlformats.org/officeDocument/2006/relationships/header" Target="header4.xml"/><Relationship Id="rId144" Type="http://schemas.openxmlformats.org/officeDocument/2006/relationships/footer" Target="footer4.xml"/><Relationship Id="rId145" Type="http://schemas.openxmlformats.org/officeDocument/2006/relationships/image" Target="media/image133.png"/><Relationship Id="rId146" Type="http://schemas.openxmlformats.org/officeDocument/2006/relationships/image" Target="media/image134.png"/><Relationship Id="rId147" Type="http://schemas.openxmlformats.org/officeDocument/2006/relationships/image" Target="media/image135.png"/><Relationship Id="rId148" Type="http://schemas.openxmlformats.org/officeDocument/2006/relationships/image" Target="media/image136.png"/><Relationship Id="rId149" Type="http://schemas.openxmlformats.org/officeDocument/2006/relationships/image" Target="media/image137.png"/><Relationship Id="rId150" Type="http://schemas.openxmlformats.org/officeDocument/2006/relationships/image" Target="media/image138.png"/><Relationship Id="rId151" Type="http://schemas.openxmlformats.org/officeDocument/2006/relationships/image" Target="media/image139.png"/><Relationship Id="rId152" Type="http://schemas.openxmlformats.org/officeDocument/2006/relationships/image" Target="media/image140.png"/><Relationship Id="rId153" Type="http://schemas.openxmlformats.org/officeDocument/2006/relationships/image" Target="media/image141.png"/><Relationship Id="rId154" Type="http://schemas.openxmlformats.org/officeDocument/2006/relationships/image" Target="media/image142.png"/><Relationship Id="rId155" Type="http://schemas.openxmlformats.org/officeDocument/2006/relationships/image" Target="media/image143.png"/><Relationship Id="rId156" Type="http://schemas.openxmlformats.org/officeDocument/2006/relationships/image" Target="media/image144.png"/><Relationship Id="rId157" Type="http://schemas.openxmlformats.org/officeDocument/2006/relationships/image" Target="media/image145.jpeg"/><Relationship Id="rId158" Type="http://schemas.openxmlformats.org/officeDocument/2006/relationships/image" Target="media/image146.png"/><Relationship Id="rId159" Type="http://schemas.openxmlformats.org/officeDocument/2006/relationships/image" Target="media/image147.png"/><Relationship Id="rId160" Type="http://schemas.openxmlformats.org/officeDocument/2006/relationships/image" Target="media/image148.png"/><Relationship Id="rId161" Type="http://schemas.openxmlformats.org/officeDocument/2006/relationships/image" Target="media/image149.png"/><Relationship Id="rId162" Type="http://schemas.openxmlformats.org/officeDocument/2006/relationships/image" Target="media/image150.png"/><Relationship Id="rId163" Type="http://schemas.openxmlformats.org/officeDocument/2006/relationships/image" Target="media/image151.png"/><Relationship Id="rId164" Type="http://schemas.openxmlformats.org/officeDocument/2006/relationships/image" Target="media/image152.png"/><Relationship Id="rId165" Type="http://schemas.openxmlformats.org/officeDocument/2006/relationships/image" Target="media/image153.png"/><Relationship Id="rId166" Type="http://schemas.openxmlformats.org/officeDocument/2006/relationships/image" Target="media/image154.png"/><Relationship Id="rId167" Type="http://schemas.openxmlformats.org/officeDocument/2006/relationships/image" Target="media/image155.png"/><Relationship Id="rId168" Type="http://schemas.openxmlformats.org/officeDocument/2006/relationships/image" Target="media/image156.png"/><Relationship Id="rId169" Type="http://schemas.openxmlformats.org/officeDocument/2006/relationships/header" Target="header5.xml"/><Relationship Id="rId170" Type="http://schemas.openxmlformats.org/officeDocument/2006/relationships/footer" Target="footer5.xml"/><Relationship Id="rId171" Type="http://schemas.openxmlformats.org/officeDocument/2006/relationships/image" Target="media/image157.png"/><Relationship Id="rId172" Type="http://schemas.openxmlformats.org/officeDocument/2006/relationships/image" Target="media/image158.png"/><Relationship Id="rId173" Type="http://schemas.openxmlformats.org/officeDocument/2006/relationships/image" Target="media/image159.png"/><Relationship Id="rId174" Type="http://schemas.openxmlformats.org/officeDocument/2006/relationships/image" Target="media/image160.png"/><Relationship Id="rId175" Type="http://schemas.openxmlformats.org/officeDocument/2006/relationships/image" Target="media/image161.png"/><Relationship Id="rId176" Type="http://schemas.openxmlformats.org/officeDocument/2006/relationships/image" Target="media/image162.png"/><Relationship Id="rId177" Type="http://schemas.openxmlformats.org/officeDocument/2006/relationships/image" Target="media/image163.png"/><Relationship Id="rId178" Type="http://schemas.openxmlformats.org/officeDocument/2006/relationships/image" Target="media/image164.png"/><Relationship Id="rId179" Type="http://schemas.openxmlformats.org/officeDocument/2006/relationships/image" Target="media/image165.png"/><Relationship Id="rId180" Type="http://schemas.openxmlformats.org/officeDocument/2006/relationships/image" Target="media/image166.png"/><Relationship Id="rId181" Type="http://schemas.openxmlformats.org/officeDocument/2006/relationships/image" Target="media/image167.png"/><Relationship Id="rId182" Type="http://schemas.openxmlformats.org/officeDocument/2006/relationships/image" Target="media/image168.png"/><Relationship Id="rId183" Type="http://schemas.openxmlformats.org/officeDocument/2006/relationships/image" Target="media/image169.png"/><Relationship Id="rId184" Type="http://schemas.openxmlformats.org/officeDocument/2006/relationships/image" Target="media/image170.png"/><Relationship Id="rId185" Type="http://schemas.openxmlformats.org/officeDocument/2006/relationships/image" Target="media/image171.png"/><Relationship Id="rId186" Type="http://schemas.openxmlformats.org/officeDocument/2006/relationships/image" Target="media/image172.png"/><Relationship Id="rId187" Type="http://schemas.openxmlformats.org/officeDocument/2006/relationships/image" Target="media/image173.png"/><Relationship Id="rId188" Type="http://schemas.openxmlformats.org/officeDocument/2006/relationships/image" Target="media/image174.png"/><Relationship Id="rId189" Type="http://schemas.openxmlformats.org/officeDocument/2006/relationships/image" Target="media/image175.png"/><Relationship Id="rId190" Type="http://schemas.openxmlformats.org/officeDocument/2006/relationships/image" Target="media/image176.png"/><Relationship Id="rId191" Type="http://schemas.openxmlformats.org/officeDocument/2006/relationships/image" Target="media/image177.png"/><Relationship Id="rId192" Type="http://schemas.openxmlformats.org/officeDocument/2006/relationships/image" Target="media/image178.png"/><Relationship Id="rId193" Type="http://schemas.openxmlformats.org/officeDocument/2006/relationships/image" Target="media/image179.png"/><Relationship Id="rId194" Type="http://schemas.openxmlformats.org/officeDocument/2006/relationships/image" Target="media/image180.png"/><Relationship Id="rId195" Type="http://schemas.openxmlformats.org/officeDocument/2006/relationships/image" Target="media/image181.png"/><Relationship Id="rId196" Type="http://schemas.openxmlformats.org/officeDocument/2006/relationships/image" Target="media/image182.png"/><Relationship Id="rId197" Type="http://schemas.openxmlformats.org/officeDocument/2006/relationships/image" Target="media/image183.png"/><Relationship Id="rId198" Type="http://schemas.openxmlformats.org/officeDocument/2006/relationships/image" Target="media/image184.png"/><Relationship Id="rId199" Type="http://schemas.openxmlformats.org/officeDocument/2006/relationships/image" Target="media/image185.png"/><Relationship Id="rId200" Type="http://schemas.openxmlformats.org/officeDocument/2006/relationships/image" Target="media/image186.png"/><Relationship Id="rId201" Type="http://schemas.openxmlformats.org/officeDocument/2006/relationships/image" Target="media/image187.png"/><Relationship Id="rId202" Type="http://schemas.openxmlformats.org/officeDocument/2006/relationships/image" Target="media/image188.png"/><Relationship Id="rId203" Type="http://schemas.openxmlformats.org/officeDocument/2006/relationships/image" Target="media/image189.png"/><Relationship Id="rId204" Type="http://schemas.openxmlformats.org/officeDocument/2006/relationships/image" Target="media/image190.png"/><Relationship Id="rId205" Type="http://schemas.openxmlformats.org/officeDocument/2006/relationships/image" Target="media/image191.png"/><Relationship Id="rId206" Type="http://schemas.openxmlformats.org/officeDocument/2006/relationships/image" Target="media/image192.png"/><Relationship Id="rId207" Type="http://schemas.openxmlformats.org/officeDocument/2006/relationships/image" Target="media/image193.png"/><Relationship Id="rId208" Type="http://schemas.openxmlformats.org/officeDocument/2006/relationships/image" Target="media/image194.png"/><Relationship Id="rId209" Type="http://schemas.openxmlformats.org/officeDocument/2006/relationships/image" Target="media/image195.png"/><Relationship Id="rId210" Type="http://schemas.openxmlformats.org/officeDocument/2006/relationships/image" Target="media/image196.png"/><Relationship Id="rId211" Type="http://schemas.openxmlformats.org/officeDocument/2006/relationships/header" Target="header6.xml"/><Relationship Id="rId212" Type="http://schemas.openxmlformats.org/officeDocument/2006/relationships/footer" Target="footer6.xml"/><Relationship Id="rId213" Type="http://schemas.openxmlformats.org/officeDocument/2006/relationships/image" Target="media/image197.png"/><Relationship Id="rId214" Type="http://schemas.openxmlformats.org/officeDocument/2006/relationships/image" Target="media/image198.png"/><Relationship Id="rId215" Type="http://schemas.openxmlformats.org/officeDocument/2006/relationships/image" Target="media/image199.png"/><Relationship Id="rId216" Type="http://schemas.openxmlformats.org/officeDocument/2006/relationships/image" Target="media/image200.png"/><Relationship Id="rId217" Type="http://schemas.openxmlformats.org/officeDocument/2006/relationships/hyperlink" Target="http://www.ncbi.nlm.nih.gov/genbank/" TargetMode="External"/><Relationship Id="rId218" Type="http://schemas.openxmlformats.org/officeDocument/2006/relationships/hyperlink" Target="http://www.ncbi.nlm.nih.gov/Sitemap/samplerecord.html" TargetMode="External"/><Relationship Id="rId219" Type="http://schemas.openxmlformats.org/officeDocument/2006/relationships/hyperlink" Target="http://www.embl.de/" TargetMode="External"/><Relationship Id="rId220" Type="http://schemas.openxmlformats.org/officeDocument/2006/relationships/hyperlink" Target="http://www.ddbj.nig.ac.jp/" TargetMode="External"/><Relationship Id="rId221" Type="http://schemas.openxmlformats.org/officeDocument/2006/relationships/hyperlink" Target="http://web.expasy.org/groups/swissprot/" TargetMode="External"/><Relationship Id="rId222" Type="http://schemas.openxmlformats.org/officeDocument/2006/relationships/hyperlink" Target="http://prosite.expasy.org/" TargetMode="External"/><Relationship Id="rId223" Type="http://schemas.openxmlformats.org/officeDocument/2006/relationships/hyperlink" Target="http://www.rcsb.org/pdb/home/home.do)" TargetMode="External"/><Relationship Id="rId224" Type="http://schemas.openxmlformats.org/officeDocument/2006/relationships/image" Target="media/image201.png"/><Relationship Id="rId225" Type="http://schemas.openxmlformats.org/officeDocument/2006/relationships/image" Target="media/image202.png"/><Relationship Id="rId226" Type="http://schemas.openxmlformats.org/officeDocument/2006/relationships/image" Target="media/image203.png"/><Relationship Id="rId227" Type="http://schemas.openxmlformats.org/officeDocument/2006/relationships/image" Target="media/image204.png"/><Relationship Id="rId228" Type="http://schemas.openxmlformats.org/officeDocument/2006/relationships/image" Target="media/image205.jpeg"/><Relationship Id="rId229" Type="http://schemas.openxmlformats.org/officeDocument/2006/relationships/image" Target="media/image206.png"/><Relationship Id="rId230" Type="http://schemas.openxmlformats.org/officeDocument/2006/relationships/hyperlink" Target="http://www.plasmodb.org/" TargetMode="External"/><Relationship Id="rId231" Type="http://schemas.openxmlformats.org/officeDocument/2006/relationships/image" Target="media/image207.png"/><Relationship Id="rId232" Type="http://schemas.openxmlformats.org/officeDocument/2006/relationships/hyperlink" Target="http://www.rcsb.org/" TargetMode="External"/><Relationship Id="rId233" Type="http://schemas.openxmlformats.org/officeDocument/2006/relationships/hyperlink" Target="http://nihserver.mbi.ucla.edu/" TargetMode="External"/><Relationship Id="rId234" Type="http://schemas.openxmlformats.org/officeDocument/2006/relationships/image" Target="media/image208.jpeg"/><Relationship Id="rId235" Type="http://schemas.openxmlformats.org/officeDocument/2006/relationships/hyperlink" Target="http://www.click2drug.org/directory_ADMET.html" TargetMode="External"/><Relationship Id="rId236" Type="http://schemas.openxmlformats.org/officeDocument/2006/relationships/hyperlink" Target="http://zinc.docking.org/)" TargetMode="External"/><Relationship Id="rId237"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2020-11-25T06:49:33Z</dcterms:created>
  <dcterms:modified xsi:type="dcterms:W3CDTF">2020-11-25T06:49:33Z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2020-11-25T00:00:00Z</vt:filetime>
  </property>
</Properties>
</file>